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3D2A" w:rsidRPr="00145DC1" w:rsidRDefault="00C73D2A" w:rsidP="00C73D2A">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9F25AE">
        <w:rPr>
          <w:rFonts w:ascii="Arial" w:eastAsia="Batang" w:hAnsi="Arial" w:cs="Arial"/>
          <w:b/>
          <w:bCs/>
          <w:sz w:val="28"/>
          <w:lang w:eastAsia="en-US"/>
        </w:rPr>
        <w:t>07988</w:t>
      </w:r>
    </w:p>
    <w:p w:rsidR="00C73D2A" w:rsidRPr="00145DC1" w:rsidRDefault="00C73D2A" w:rsidP="00C73D2A">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w:t>
      </w:r>
      <w:r w:rsidR="00C73D2A">
        <w:rPr>
          <w:lang w:val="en-US"/>
        </w:rPr>
        <w:t>8</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C73D2A" w:rsidRPr="00FF2801" w:rsidRDefault="00C73D2A" w:rsidP="00C73D2A">
            <w:pPr>
              <w:rPr>
                <w:rFonts w:eastAsia="DengXian"/>
                <w:sz w:val="20"/>
                <w:szCs w:val="20"/>
                <w:highlight w:val="green"/>
              </w:rPr>
            </w:pPr>
            <w:r w:rsidRPr="00FF2801">
              <w:rPr>
                <w:rFonts w:eastAsia="DengXian"/>
                <w:sz w:val="20"/>
                <w:szCs w:val="20"/>
                <w:highlight w:val="green"/>
              </w:rPr>
              <w:t>Agreement</w:t>
            </w:r>
          </w:p>
          <w:p w:rsidR="00C73D2A" w:rsidRPr="00FF2801" w:rsidRDefault="00C73D2A" w:rsidP="00C73D2A">
            <w:pPr>
              <w:rPr>
                <w:rFonts w:eastAsia="DengXian"/>
                <w:sz w:val="20"/>
                <w:szCs w:val="20"/>
              </w:rPr>
            </w:pPr>
            <w:r w:rsidRPr="00FF2801">
              <w:rPr>
                <w:sz w:val="20"/>
                <w:szCs w:val="20"/>
              </w:rPr>
              <w:t>For UE sided model in beam management, support</w:t>
            </w:r>
            <w:r w:rsidRPr="00FF2801">
              <w:rPr>
                <w:color w:val="FF0000"/>
                <w:sz w:val="20"/>
                <w:szCs w:val="20"/>
              </w:rPr>
              <w:t xml:space="preserve"> </w:t>
            </w:r>
            <w:r w:rsidRPr="00FF2801">
              <w:rPr>
                <w:sz w:val="20"/>
                <w:szCs w:val="20"/>
              </w:rPr>
              <w:t>associated ID</w:t>
            </w:r>
          </w:p>
          <w:p w:rsidR="00C73D2A" w:rsidRPr="00FF2801" w:rsidRDefault="00C73D2A" w:rsidP="00C73D2A">
            <w:pPr>
              <w:numPr>
                <w:ilvl w:val="0"/>
                <w:numId w:val="694"/>
              </w:numPr>
              <w:tabs>
                <w:tab w:val="left" w:pos="360"/>
                <w:tab w:val="left" w:pos="709"/>
              </w:tabs>
              <w:rPr>
                <w:sz w:val="20"/>
                <w:szCs w:val="20"/>
                <w:highlight w:val="darkYellow"/>
              </w:rPr>
            </w:pPr>
            <w:r w:rsidRPr="00FF2801">
              <w:rPr>
                <w:rFonts w:eastAsia="DengXian"/>
                <w:sz w:val="20"/>
                <w:szCs w:val="20"/>
                <w:highlight w:val="darkYellow"/>
              </w:rPr>
              <w:t>[Working Assumption]</w:t>
            </w:r>
          </w:p>
          <w:p w:rsidR="00C73D2A" w:rsidRPr="00FF2801" w:rsidRDefault="00C73D2A" w:rsidP="00C73D2A">
            <w:pPr>
              <w:numPr>
                <w:ilvl w:val="1"/>
                <w:numId w:val="694"/>
              </w:numPr>
              <w:tabs>
                <w:tab w:val="left" w:pos="360"/>
                <w:tab w:val="left" w:pos="709"/>
              </w:tabs>
              <w:rPr>
                <w:sz w:val="20"/>
                <w:szCs w:val="20"/>
                <w:highlight w:val="darkYellow"/>
              </w:rPr>
            </w:pPr>
            <w:r w:rsidRPr="00FF2801">
              <w:rPr>
                <w:sz w:val="20"/>
                <w:szCs w:val="20"/>
                <w:highlight w:val="darkYellow"/>
              </w:rPr>
              <w:t>The associated ID</w:t>
            </w:r>
            <w:r w:rsidRPr="00FF2801">
              <w:rPr>
                <w:rFonts w:eastAsia="DengXian"/>
                <w:sz w:val="20"/>
                <w:szCs w:val="20"/>
                <w:highlight w:val="darkYellow"/>
              </w:rPr>
              <w:t xml:space="preserve"> </w:t>
            </w:r>
            <w:r w:rsidRPr="00FF2801">
              <w:rPr>
                <w:sz w:val="20"/>
                <w:szCs w:val="20"/>
                <w:highlight w:val="darkYellow"/>
              </w:rPr>
              <w:t>at least can be configured</w:t>
            </w:r>
            <w:r w:rsidRPr="00FF2801">
              <w:rPr>
                <w:rFonts w:eastAsia="DengXian"/>
                <w:sz w:val="20"/>
                <w:szCs w:val="20"/>
                <w:highlight w:val="darkYellow"/>
              </w:rPr>
              <w:t xml:space="preserve"> </w:t>
            </w:r>
            <w:r w:rsidRPr="00FF2801">
              <w:rPr>
                <w:sz w:val="20"/>
                <w:szCs w:val="20"/>
                <w:highlight w:val="darkYellow"/>
              </w:rPr>
              <w:t xml:space="preserve">within CSI framework </w:t>
            </w:r>
          </w:p>
          <w:p w:rsidR="00C73D2A" w:rsidRPr="00FF2801" w:rsidRDefault="00C73D2A" w:rsidP="00C73D2A">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details</w:t>
            </w:r>
          </w:p>
          <w:p w:rsidR="00C73D2A" w:rsidRPr="00FF2801" w:rsidRDefault="00C73D2A" w:rsidP="00C73D2A">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whether/how to configure/indicate the associated ID via other signal(s) and/or in other procedure(s)/framework(s)</w:t>
            </w:r>
          </w:p>
          <w:p w:rsidR="00C73D2A" w:rsidRPr="00FF2801" w:rsidRDefault="00C73D2A" w:rsidP="00C73D2A">
            <w:pPr>
              <w:numPr>
                <w:ilvl w:val="0"/>
                <w:numId w:val="694"/>
              </w:numPr>
              <w:tabs>
                <w:tab w:val="left" w:pos="360"/>
              </w:tabs>
              <w:ind w:left="709"/>
              <w:rPr>
                <w:sz w:val="20"/>
                <w:szCs w:val="20"/>
              </w:rPr>
            </w:pPr>
            <w:r w:rsidRPr="00FF2801">
              <w:rPr>
                <w:sz w:val="20"/>
                <w:szCs w:val="20"/>
              </w:rPr>
              <w:t xml:space="preserve">UE may assume the </w:t>
            </w:r>
            <w:r w:rsidRPr="00FF2801">
              <w:rPr>
                <w:rFonts w:eastAsia="DengXian"/>
                <w:sz w:val="20"/>
                <w:szCs w:val="20"/>
              </w:rPr>
              <w:t xml:space="preserve">similar </w:t>
            </w:r>
            <w:r w:rsidRPr="00FF2801">
              <w:rPr>
                <w:sz w:val="20"/>
                <w:szCs w:val="20"/>
              </w:rPr>
              <w:t>properties of a DL Tx beam or beam set/list associated with the same associated ID</w:t>
            </w:r>
          </w:p>
          <w:p w:rsidR="00C73D2A" w:rsidRPr="00FF2801" w:rsidRDefault="00C73D2A" w:rsidP="00C73D2A">
            <w:pPr>
              <w:pStyle w:val="ListParagraph"/>
              <w:numPr>
                <w:ilvl w:val="1"/>
                <w:numId w:val="693"/>
              </w:numPr>
              <w:spacing w:after="180"/>
              <w:ind w:leftChars="0"/>
              <w:rPr>
                <w:rFonts w:ascii="Times New Roman" w:hAnsi="Times New Roman"/>
                <w:szCs w:val="20"/>
              </w:rPr>
            </w:pPr>
            <w:r w:rsidRPr="00FF2801">
              <w:rPr>
                <w:rFonts w:ascii="Times New Roman" w:hAnsi="Times New Roman"/>
                <w:szCs w:val="20"/>
              </w:rPr>
              <w:t xml:space="preserve">FFS: whether/how to define </w:t>
            </w:r>
            <w:r w:rsidRPr="00FF2801">
              <w:rPr>
                <w:rFonts w:ascii="Times New Roman" w:hAnsi="Times New Roman"/>
                <w:i/>
                <w:iCs/>
                <w:szCs w:val="20"/>
              </w:rPr>
              <w:t>similar properties</w:t>
            </w:r>
            <w:r w:rsidRPr="00FF2801">
              <w:rPr>
                <w:rFonts w:ascii="Times New Roman" w:hAnsi="Times New Roman"/>
                <w:szCs w:val="20"/>
              </w:rPr>
              <w:t xml:space="preserve"> of a DL Tx beam or beam set/list</w:t>
            </w:r>
          </w:p>
          <w:p w:rsidR="00C73D2A" w:rsidRPr="00FF2801" w:rsidRDefault="00C73D2A" w:rsidP="00C73D2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C73D2A" w:rsidRPr="00FF2801" w:rsidRDefault="00C73D2A" w:rsidP="00C73D2A">
            <w:pPr>
              <w:rPr>
                <w:sz w:val="20"/>
                <w:szCs w:val="20"/>
              </w:rPr>
            </w:pPr>
            <w:r w:rsidRPr="00FF2801">
              <w:rPr>
                <w:sz w:val="20"/>
                <w:szCs w:val="20"/>
              </w:rPr>
              <w:t>For UE-sided model, for the quantization of a RSRP value at least for the report of inference results, support</w:t>
            </w:r>
          </w:p>
          <w:p w:rsidR="00C73D2A" w:rsidRPr="00FF2801" w:rsidRDefault="00C73D2A" w:rsidP="00C73D2A">
            <w:pPr>
              <w:pStyle w:val="ListParagraph"/>
              <w:numPr>
                <w:ilvl w:val="0"/>
                <w:numId w:val="689"/>
              </w:numPr>
              <w:spacing w:after="180"/>
              <w:ind w:leftChars="0"/>
              <w:rPr>
                <w:rFonts w:ascii="Times New Roman" w:hAnsi="Times New Roman"/>
                <w:szCs w:val="20"/>
              </w:rPr>
            </w:pPr>
            <w:r w:rsidRPr="00FF2801">
              <w:rPr>
                <w:rFonts w:ascii="Times New Roman" w:hAnsi="Times New Roman"/>
                <w:szCs w:val="20"/>
              </w:rPr>
              <w:t>Support differential RSRP reporting with legacy quantization step and range for L1-RSRP reporting</w:t>
            </w:r>
          </w:p>
          <w:p w:rsidR="00C73D2A" w:rsidRPr="00FF2801" w:rsidRDefault="00C73D2A" w:rsidP="00C73D2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For BM-Case 1, support differential RSRP report among multiple beams</w:t>
            </w:r>
          </w:p>
          <w:p w:rsidR="00C73D2A" w:rsidRPr="00FF2801" w:rsidRDefault="00C73D2A" w:rsidP="00C73D2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 xml:space="preserve">For BM-Case 2, support differential RSRP report among multiple beams over multiple time instances </w:t>
            </w:r>
          </w:p>
          <w:p w:rsidR="00C73D2A" w:rsidRPr="00FF2801" w:rsidRDefault="00C73D2A" w:rsidP="00C73D2A">
            <w:pPr>
              <w:pStyle w:val="ListParagraph"/>
              <w:numPr>
                <w:ilvl w:val="2"/>
                <w:numId w:val="689"/>
              </w:numPr>
              <w:spacing w:after="180"/>
              <w:ind w:leftChars="0"/>
              <w:rPr>
                <w:rFonts w:ascii="Times New Roman" w:hAnsi="Times New Roman"/>
                <w:b/>
                <w:bCs/>
                <w:color w:val="5B9BD5"/>
                <w:szCs w:val="20"/>
              </w:rPr>
            </w:pPr>
            <w:r w:rsidRPr="00FF2801">
              <w:rPr>
                <w:rFonts w:ascii="Times New Roman" w:hAnsi="Times New Roman"/>
                <w:szCs w:val="20"/>
                <w:lang w:eastAsia="zh-CN"/>
              </w:rPr>
              <w:t>FFS details</w:t>
            </w:r>
          </w:p>
          <w:p w:rsidR="00C73D2A" w:rsidRPr="00FF2801" w:rsidRDefault="00C73D2A" w:rsidP="00C73D2A">
            <w:pPr>
              <w:pStyle w:val="ListParagraph"/>
              <w:tabs>
                <w:tab w:val="left" w:pos="360"/>
                <w:tab w:val="left" w:pos="1080"/>
              </w:tabs>
              <w:ind w:leftChars="0" w:left="720"/>
              <w:rPr>
                <w:rFonts w:ascii="Times New Roman" w:eastAsia="DengXian" w:hAnsi="Times New Roman"/>
                <w:szCs w:val="20"/>
                <w:highlight w:val="darkYellow"/>
                <w:lang w:eastAsia="zh-CN"/>
              </w:rPr>
            </w:pPr>
          </w:p>
          <w:p w:rsidR="00C73D2A" w:rsidRPr="00FF2801" w:rsidRDefault="00C73D2A" w:rsidP="00C73D2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C73D2A" w:rsidRPr="00FF2801" w:rsidRDefault="00C73D2A" w:rsidP="00C73D2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C73D2A" w:rsidRPr="00FF2801" w:rsidRDefault="00C73D2A" w:rsidP="00C73D2A">
            <w:pPr>
              <w:pStyle w:val="ListParagraph"/>
              <w:numPr>
                <w:ilvl w:val="0"/>
                <w:numId w:val="695"/>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C73D2A" w:rsidRPr="00FF2801" w:rsidRDefault="00C73D2A" w:rsidP="00C73D2A">
            <w:pPr>
              <w:pStyle w:val="ListParagraph"/>
              <w:numPr>
                <w:ilvl w:val="1"/>
                <w:numId w:val="695"/>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C73D2A" w:rsidRPr="00FF2801" w:rsidRDefault="00C73D2A" w:rsidP="00C73D2A">
            <w:pPr>
              <w:pStyle w:val="ListParagraph"/>
              <w:numPr>
                <w:ilvl w:val="0"/>
                <w:numId w:val="695"/>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C73D2A" w:rsidRPr="00FF2801" w:rsidRDefault="00C73D2A" w:rsidP="00C73D2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p w:rsidR="00C73D2A" w:rsidRPr="00FF2801" w:rsidRDefault="00C73D2A" w:rsidP="00C73D2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C73D2A" w:rsidRPr="00FF2801" w:rsidRDefault="00C73D2A" w:rsidP="00C73D2A">
            <w:pPr>
              <w:rPr>
                <w:sz w:val="20"/>
                <w:szCs w:val="20"/>
              </w:rPr>
            </w:pPr>
            <w:r w:rsidRPr="00FF2801">
              <w:rPr>
                <w:bCs/>
                <w:sz w:val="20"/>
                <w:szCs w:val="20"/>
              </w:rPr>
              <w:t xml:space="preserve">For BM-Case1 and BM-Case2 with a UE-sided AI/ML model, for Option 2 </w:t>
            </w:r>
            <w:r w:rsidRPr="00FF2801">
              <w:rPr>
                <w:sz w:val="20"/>
                <w:szCs w:val="20"/>
              </w:rPr>
              <w:t xml:space="preserve">(UE-assisted performance monitoring), further study </w:t>
            </w:r>
            <w:r w:rsidRPr="00FF2801">
              <w:rPr>
                <w:rFonts w:eastAsia="DengXian"/>
                <w:sz w:val="20"/>
                <w:szCs w:val="20"/>
              </w:rPr>
              <w:t xml:space="preserve">at least </w:t>
            </w:r>
            <w:r w:rsidRPr="00FF2801">
              <w:rPr>
                <w:sz w:val="20"/>
                <w:szCs w:val="20"/>
              </w:rPr>
              <w:t xml:space="preserve">the following </w:t>
            </w:r>
            <w:r w:rsidRPr="00FF2801">
              <w:rPr>
                <w:rFonts w:eastAsia="DengXian"/>
                <w:sz w:val="20"/>
                <w:szCs w:val="20"/>
              </w:rPr>
              <w:t>alternative</w:t>
            </w:r>
            <w:r w:rsidRPr="00FF2801">
              <w:rPr>
                <w:sz w:val="20"/>
                <w:szCs w:val="20"/>
              </w:rPr>
              <w:t>s, including:</w:t>
            </w:r>
          </w:p>
          <w:p w:rsidR="00C73D2A" w:rsidRPr="00FF2801" w:rsidRDefault="00C73D2A" w:rsidP="00C73D2A">
            <w:pPr>
              <w:pStyle w:val="ListParagraph"/>
              <w:numPr>
                <w:ilvl w:val="0"/>
                <w:numId w:val="696"/>
              </w:numPr>
              <w:spacing w:after="180"/>
              <w:ind w:leftChars="0"/>
              <w:rPr>
                <w:rFonts w:ascii="Times New Roman" w:hAnsi="Times New Roman"/>
                <w:szCs w:val="20"/>
              </w:rPr>
            </w:pPr>
            <w:r w:rsidRPr="00FF2801">
              <w:rPr>
                <w:rFonts w:ascii="Times New Roman" w:eastAsia="DengXian" w:hAnsi="Times New Roman"/>
                <w:szCs w:val="20"/>
                <w:lang w:eastAsia="zh-CN"/>
              </w:rPr>
              <w:t>Alt</w:t>
            </w:r>
            <w:r w:rsidRPr="00FF2801">
              <w:rPr>
                <w:rFonts w:ascii="Times New Roman" w:hAnsi="Times New Roman"/>
                <w:szCs w:val="20"/>
              </w:rPr>
              <w:t xml:space="preserve"> 1: Top 1 or Top K beam prediction accuracy (with or without margin) by comparing the prediction results and the Top 1 or Top K beam based on the measurements from a resource set/resources for monitoring</w:t>
            </w:r>
          </w:p>
          <w:p w:rsidR="00C73D2A" w:rsidRPr="00FF2801" w:rsidRDefault="00C73D2A" w:rsidP="00C73D2A">
            <w:pPr>
              <w:pStyle w:val="ListParagraph"/>
              <w:numPr>
                <w:ilvl w:val="0"/>
                <w:numId w:val="696"/>
              </w:numPr>
              <w:spacing w:after="180"/>
              <w:ind w:leftChars="0"/>
              <w:rPr>
                <w:rFonts w:ascii="Times New Roman" w:hAnsi="Times New Roman"/>
                <w:szCs w:val="20"/>
              </w:rPr>
            </w:pPr>
            <w:r w:rsidRPr="00FF2801">
              <w:rPr>
                <w:rFonts w:ascii="Times New Roman" w:eastAsia="DengXian" w:hAnsi="Times New Roman"/>
                <w:szCs w:val="20"/>
                <w:lang w:eastAsia="zh-CN"/>
              </w:rPr>
              <w:lastRenderedPageBreak/>
              <w:t xml:space="preserve">Alt </w:t>
            </w:r>
            <w:r w:rsidRPr="00FF2801">
              <w:rPr>
                <w:rFonts w:ascii="Times New Roman" w:hAnsi="Times New Roman"/>
                <w:szCs w:val="20"/>
              </w:rPr>
              <w:t xml:space="preserve">2: The L1-RSRP difference information based on </w:t>
            </w:r>
            <w:r w:rsidRPr="00FF2801">
              <w:rPr>
                <w:rFonts w:ascii="Times New Roman" w:eastAsia="DengXian" w:hAnsi="Times New Roman"/>
                <w:szCs w:val="20"/>
                <w:lang w:eastAsia="zh-CN"/>
              </w:rPr>
              <w:t>actual measurement of the L1-RSRP</w:t>
            </w:r>
            <w:r w:rsidRPr="00FF2801">
              <w:rPr>
                <w:rFonts w:ascii="Times New Roman" w:hAnsi="Times New Roman"/>
                <w:szCs w:val="20"/>
              </w:rPr>
              <w:t xml:space="preserve"> of </w:t>
            </w:r>
            <w:r w:rsidRPr="00FF2801">
              <w:rPr>
                <w:rFonts w:ascii="Times New Roman" w:eastAsia="DengXian" w:hAnsi="Times New Roman"/>
                <w:szCs w:val="20"/>
                <w:lang w:eastAsia="zh-CN"/>
              </w:rPr>
              <w:t xml:space="preserve">one or more of </w:t>
            </w:r>
            <w:r w:rsidRPr="00FF2801">
              <w:rPr>
                <w:rFonts w:ascii="Times New Roman" w:hAnsi="Times New Roman"/>
                <w:szCs w:val="20"/>
              </w:rPr>
              <w:t xml:space="preserve">Top K predicted beam, and </w:t>
            </w:r>
            <w:r w:rsidRPr="00FF2801">
              <w:rPr>
                <w:rFonts w:ascii="Times New Roman" w:eastAsia="DengXian" w:hAnsi="Times New Roman"/>
                <w:szCs w:val="20"/>
                <w:lang w:eastAsia="zh-CN"/>
              </w:rPr>
              <w:t xml:space="preserve">L1-RSRP </w:t>
            </w:r>
            <w:r w:rsidRPr="00FF2801">
              <w:rPr>
                <w:rFonts w:ascii="Times New Roman" w:hAnsi="Times New Roman"/>
                <w:szCs w:val="20"/>
              </w:rPr>
              <w:t>measurements from a resource set/resources for monitoring</w:t>
            </w:r>
          </w:p>
          <w:p w:rsidR="00C73D2A" w:rsidRPr="00FF2801" w:rsidRDefault="00C73D2A" w:rsidP="00C73D2A">
            <w:pPr>
              <w:pStyle w:val="ListParagraph"/>
              <w:numPr>
                <w:ilvl w:val="0"/>
                <w:numId w:val="696"/>
              </w:numPr>
              <w:spacing w:after="180"/>
              <w:ind w:leftChars="0"/>
              <w:rPr>
                <w:rFonts w:ascii="Times New Roman" w:hAnsi="Times New Roman"/>
                <w:szCs w:val="20"/>
              </w:rPr>
            </w:pPr>
            <w:r w:rsidRPr="00FF2801">
              <w:rPr>
                <w:rFonts w:ascii="Times New Roman" w:eastAsia="DengXian" w:hAnsi="Times New Roman"/>
                <w:szCs w:val="20"/>
                <w:lang w:eastAsia="zh-CN"/>
              </w:rPr>
              <w:t>Alt</w:t>
            </w:r>
            <w:r w:rsidRPr="00FF2801">
              <w:rPr>
                <w:rFonts w:ascii="Times New Roman" w:hAnsi="Times New Roman"/>
                <w:szCs w:val="20"/>
              </w:rPr>
              <w:t xml:space="preserve"> 3: The RSRP difference information between the predicted RSRP</w:t>
            </w:r>
            <w:r w:rsidRPr="00FF2801">
              <w:rPr>
                <w:rFonts w:ascii="Times New Roman" w:eastAsia="DengXian" w:hAnsi="Times New Roman"/>
                <w:szCs w:val="20"/>
                <w:lang w:eastAsia="zh-CN"/>
              </w:rPr>
              <w:t xml:space="preserve"> </w:t>
            </w:r>
            <w:r w:rsidRPr="00FF2801">
              <w:rPr>
                <w:rFonts w:ascii="Times New Roman" w:hAnsi="Times New Roman"/>
                <w:szCs w:val="20"/>
              </w:rPr>
              <w:t>and measured L1-RSRP of corresponding beam(s) of a resource set/resources for monitoring</w:t>
            </w:r>
          </w:p>
          <w:p w:rsidR="00C73D2A" w:rsidRPr="00FF2801" w:rsidRDefault="00C73D2A" w:rsidP="00C73D2A">
            <w:pPr>
              <w:pStyle w:val="ListParagraph"/>
              <w:numPr>
                <w:ilvl w:val="1"/>
                <w:numId w:val="696"/>
              </w:numPr>
              <w:spacing w:after="180"/>
              <w:ind w:leftChars="0"/>
              <w:rPr>
                <w:rFonts w:ascii="Times New Roman" w:hAnsi="Times New Roman"/>
                <w:szCs w:val="20"/>
              </w:rPr>
            </w:pPr>
            <w:r w:rsidRPr="00FF2801">
              <w:rPr>
                <w:rFonts w:ascii="Times New Roman" w:hAnsi="Times New Roman"/>
                <w:szCs w:val="20"/>
              </w:rPr>
              <w:t xml:space="preserve">Note: resources for Set B for monitoring </w:t>
            </w:r>
            <w:r w:rsidRPr="00FF2801">
              <w:rPr>
                <w:rFonts w:ascii="Times New Roman" w:eastAsia="DengXian" w:hAnsi="Times New Roman"/>
                <w:szCs w:val="20"/>
                <w:lang w:eastAsia="zh-CN"/>
              </w:rPr>
              <w:t xml:space="preserve">are </w:t>
            </w:r>
            <w:r w:rsidRPr="00FF2801">
              <w:rPr>
                <w:rFonts w:ascii="Times New Roman" w:hAnsi="Times New Roman"/>
                <w:szCs w:val="20"/>
              </w:rPr>
              <w:t xml:space="preserve">not precluded and can be study. </w:t>
            </w:r>
          </w:p>
          <w:p w:rsidR="00C73D2A" w:rsidRPr="00FF2801" w:rsidRDefault="00C73D2A" w:rsidP="00C73D2A">
            <w:pPr>
              <w:pStyle w:val="ListParagraph"/>
              <w:numPr>
                <w:ilvl w:val="1"/>
                <w:numId w:val="696"/>
              </w:numPr>
              <w:spacing w:after="180"/>
              <w:ind w:leftChars="0"/>
              <w:rPr>
                <w:rFonts w:ascii="Times New Roman" w:hAnsi="Times New Roman"/>
                <w:szCs w:val="20"/>
              </w:rPr>
            </w:pPr>
            <w:r w:rsidRPr="00FF2801">
              <w:rPr>
                <w:rFonts w:ascii="Times New Roman" w:hAnsi="Times New Roman"/>
                <w:szCs w:val="20"/>
              </w:rPr>
              <w:t xml:space="preserve">Note: this is only applicable when the model can predict RSRP </w:t>
            </w:r>
          </w:p>
          <w:p w:rsidR="00C73D2A" w:rsidRPr="00FF2801" w:rsidRDefault="00C73D2A" w:rsidP="00C73D2A">
            <w:pPr>
              <w:pStyle w:val="ListParagraph"/>
              <w:numPr>
                <w:ilvl w:val="0"/>
                <w:numId w:val="696"/>
              </w:numPr>
              <w:spacing w:after="180"/>
              <w:ind w:leftChars="0"/>
              <w:rPr>
                <w:rFonts w:ascii="Times New Roman" w:hAnsi="Times New Roman"/>
                <w:szCs w:val="20"/>
                <w:lang w:eastAsia="zh-CN"/>
              </w:rPr>
            </w:pPr>
            <w:r w:rsidRPr="00FF2801">
              <w:rPr>
                <w:rFonts w:ascii="Times New Roman" w:eastAsia="DengXian" w:hAnsi="Times New Roman"/>
                <w:szCs w:val="20"/>
                <w:lang w:eastAsia="zh-CN"/>
              </w:rPr>
              <w:t>Alt</w:t>
            </w:r>
            <w:r w:rsidRPr="00FF2801">
              <w:rPr>
                <w:rFonts w:ascii="Times New Roman" w:hAnsi="Times New Roman"/>
                <w:szCs w:val="20"/>
              </w:rPr>
              <w:t xml:space="preserve"> 4: The probability information of the predicted beam(s) to be the Top 1 or Top K beam</w:t>
            </w:r>
          </w:p>
          <w:p w:rsidR="00C73D2A" w:rsidRPr="00FF2801" w:rsidRDefault="00C73D2A" w:rsidP="00C73D2A">
            <w:pPr>
              <w:pStyle w:val="ListParagraph"/>
              <w:numPr>
                <w:ilvl w:val="1"/>
                <w:numId w:val="696"/>
              </w:numPr>
              <w:spacing w:after="180"/>
              <w:ind w:leftChars="0"/>
              <w:rPr>
                <w:rFonts w:ascii="Times New Roman" w:hAnsi="Times New Roman"/>
                <w:szCs w:val="20"/>
              </w:rPr>
            </w:pPr>
            <w:r w:rsidRPr="00FF2801">
              <w:rPr>
                <w:rFonts w:ascii="Times New Roman" w:hAnsi="Times New Roman"/>
                <w:szCs w:val="20"/>
              </w:rPr>
              <w:t xml:space="preserve">Note: this is only applicable when the model can generate probability information </w:t>
            </w:r>
          </w:p>
          <w:p w:rsidR="00C73D2A" w:rsidRPr="00FF2801" w:rsidRDefault="00C73D2A" w:rsidP="00C73D2A">
            <w:pPr>
              <w:pStyle w:val="ListParagraph"/>
              <w:numPr>
                <w:ilvl w:val="0"/>
                <w:numId w:val="696"/>
              </w:numPr>
              <w:spacing w:after="180"/>
              <w:ind w:leftChars="0"/>
              <w:rPr>
                <w:rFonts w:ascii="Times New Roman" w:eastAsia="Times New Roman" w:hAnsi="Times New Roman"/>
                <w:szCs w:val="20"/>
                <w:lang w:eastAsia="zh-CN"/>
              </w:rPr>
            </w:pPr>
            <w:r w:rsidRPr="00FF2801">
              <w:rPr>
                <w:rFonts w:ascii="Times New Roman" w:eastAsia="Times New Roman" w:hAnsi="Times New Roman"/>
                <w:szCs w:val="20"/>
                <w:lang w:eastAsia="zh-CN"/>
              </w:rPr>
              <w:t xml:space="preserve">FFS: for </w:t>
            </w:r>
            <w:r w:rsidRPr="00FF2801">
              <w:rPr>
                <w:rFonts w:ascii="Times New Roman" w:eastAsia="DengXian" w:hAnsi="Times New Roman"/>
                <w:szCs w:val="20"/>
                <w:lang w:eastAsia="zh-CN"/>
              </w:rPr>
              <w:t>Alt</w:t>
            </w:r>
            <w:r w:rsidRPr="00FF2801">
              <w:rPr>
                <w:rFonts w:ascii="Times New Roman" w:eastAsia="Times New Roman" w:hAnsi="Times New Roman"/>
                <w:szCs w:val="20"/>
                <w:lang w:eastAsia="zh-CN"/>
              </w:rPr>
              <w:t xml:space="preserve"> 1/2/3, </w:t>
            </w:r>
            <w:r w:rsidRPr="00FF2801">
              <w:rPr>
                <w:rFonts w:ascii="Times New Roman" w:hAnsi="Times New Roman"/>
                <w:szCs w:val="20"/>
              </w:rPr>
              <w:t>on other details including how to configure the resource set/resources for monitoring, including</w:t>
            </w:r>
          </w:p>
          <w:p w:rsidR="00C73D2A" w:rsidRPr="00FF2801" w:rsidRDefault="00C73D2A" w:rsidP="00C73D2A">
            <w:pPr>
              <w:pStyle w:val="ListParagraph"/>
              <w:numPr>
                <w:ilvl w:val="1"/>
                <w:numId w:val="696"/>
              </w:numPr>
              <w:spacing w:after="180"/>
              <w:ind w:leftChars="0"/>
              <w:rPr>
                <w:rFonts w:ascii="Times New Roman" w:hAnsi="Times New Roman"/>
                <w:szCs w:val="20"/>
              </w:rPr>
            </w:pPr>
            <w:r w:rsidRPr="00FF2801">
              <w:rPr>
                <w:rFonts w:ascii="Times New Roman" w:hAnsi="Times New Roman"/>
                <w:szCs w:val="20"/>
              </w:rPr>
              <w:t xml:space="preserve">E.g. whether/how to use full set of Set A for measurement. </w:t>
            </w:r>
            <w:r w:rsidRPr="00FF2801">
              <w:rPr>
                <w:rFonts w:ascii="Times New Roman" w:eastAsia="DengXian" w:hAnsi="Times New Roman"/>
                <w:szCs w:val="20"/>
                <w:lang w:eastAsia="zh-CN"/>
              </w:rPr>
              <w:t>I</w:t>
            </w:r>
            <w:r w:rsidRPr="00FF2801">
              <w:rPr>
                <w:rFonts w:ascii="Times New Roman" w:hAnsi="Times New Roman"/>
                <w:szCs w:val="20"/>
              </w:rPr>
              <w:t xml:space="preserve">f not, whether/how to obtain the measurement of the predicted Top 1 or Top K beam for calculating the prediction accuracy or the RSRP difference.    </w:t>
            </w:r>
          </w:p>
          <w:p w:rsidR="00C73D2A" w:rsidRPr="00FF2801" w:rsidRDefault="00C73D2A" w:rsidP="00C73D2A">
            <w:pPr>
              <w:pStyle w:val="ListParagraph"/>
              <w:numPr>
                <w:ilvl w:val="0"/>
                <w:numId w:val="696"/>
              </w:numPr>
              <w:spacing w:after="180"/>
              <w:ind w:leftChars="0"/>
              <w:rPr>
                <w:rFonts w:ascii="Times New Roman" w:hAnsi="Times New Roman"/>
                <w:szCs w:val="20"/>
                <w:lang w:eastAsia="zh-CN"/>
              </w:rPr>
            </w:pPr>
            <w:r w:rsidRPr="00FF2801">
              <w:rPr>
                <w:rFonts w:ascii="Times New Roman" w:hAnsi="Times New Roman"/>
                <w:szCs w:val="20"/>
              </w:rPr>
              <w:t xml:space="preserve">For all </w:t>
            </w:r>
            <w:r w:rsidRPr="00FF2801">
              <w:rPr>
                <w:rFonts w:ascii="Times New Roman" w:eastAsia="DengXian" w:hAnsi="Times New Roman"/>
                <w:szCs w:val="20"/>
                <w:lang w:eastAsia="zh-CN"/>
              </w:rPr>
              <w:t>alternative</w:t>
            </w:r>
            <w:r w:rsidRPr="00FF2801">
              <w:rPr>
                <w:rFonts w:ascii="Times New Roman" w:hAnsi="Times New Roman"/>
                <w:szCs w:val="20"/>
              </w:rPr>
              <w:t xml:space="preserve">s, study whether the performance </w:t>
            </w:r>
            <w:r w:rsidRPr="00FF2801">
              <w:rPr>
                <w:rFonts w:ascii="Times New Roman" w:eastAsia="DengXian" w:hAnsi="Times New Roman"/>
                <w:szCs w:val="20"/>
                <w:lang w:eastAsia="zh-CN"/>
              </w:rPr>
              <w:t>information</w:t>
            </w:r>
            <w:r w:rsidRPr="00FF2801">
              <w:rPr>
                <w:rFonts w:ascii="Times New Roman" w:hAnsi="Times New Roman"/>
                <w:szCs w:val="20"/>
              </w:rPr>
              <w:t xml:space="preserve"> is calculated per sample (one-shot), or per set of samples (window) </w:t>
            </w:r>
          </w:p>
          <w:p w:rsidR="00C73D2A" w:rsidRPr="00FF2801" w:rsidRDefault="00C73D2A" w:rsidP="00C73D2A">
            <w:pPr>
              <w:pStyle w:val="ListParagraph"/>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C73D2A" w:rsidRPr="00FF2801" w:rsidRDefault="00C73D2A" w:rsidP="00C73D2A">
            <w:pPr>
              <w:pStyle w:val="00Text"/>
              <w:spacing w:before="0" w:after="0"/>
              <w:rPr>
                <w:szCs w:val="20"/>
                <w:lang w:val="de-DE"/>
              </w:rPr>
            </w:pPr>
            <w:r w:rsidRPr="00FF2801">
              <w:rPr>
                <w:szCs w:val="20"/>
              </w:rPr>
              <w:t>For UE-sided model for BM-Case 2, for inference results report</w:t>
            </w:r>
            <w:r w:rsidRPr="00FF2801">
              <w:rPr>
                <w:szCs w:val="20"/>
                <w:lang w:val="de-DE"/>
              </w:rPr>
              <w:t>, support to configure UE with N future time instance(s) for inference by NW when applicable</w:t>
            </w:r>
          </w:p>
          <w:p w:rsidR="00C73D2A" w:rsidRPr="00FF2801" w:rsidRDefault="00C73D2A" w:rsidP="00C73D2A">
            <w:pPr>
              <w:pStyle w:val="00Text"/>
              <w:numPr>
                <w:ilvl w:val="0"/>
                <w:numId w:val="682"/>
              </w:numPr>
              <w:spacing w:before="0" w:after="0"/>
              <w:rPr>
                <w:szCs w:val="20"/>
                <w:lang w:val="en-GB"/>
              </w:rPr>
            </w:pPr>
            <w:r w:rsidRPr="00FF2801">
              <w:rPr>
                <w:szCs w:val="20"/>
                <w:lang w:val="en-GB"/>
              </w:rPr>
              <w:t>FFS: how to determinate reference time for the time instance(s)</w:t>
            </w:r>
          </w:p>
          <w:p w:rsidR="00C73D2A" w:rsidRPr="00FF2801" w:rsidRDefault="00C73D2A" w:rsidP="00C73D2A">
            <w:pPr>
              <w:pStyle w:val="00Text"/>
              <w:numPr>
                <w:ilvl w:val="0"/>
                <w:numId w:val="682"/>
              </w:numPr>
              <w:spacing w:before="0" w:after="0"/>
              <w:rPr>
                <w:szCs w:val="20"/>
                <w:lang w:val="en-GB"/>
              </w:rPr>
            </w:pPr>
            <w:r w:rsidRPr="00FF2801">
              <w:rPr>
                <w:szCs w:val="20"/>
                <w:lang w:val="en-GB"/>
              </w:rPr>
              <w:t xml:space="preserve">FFS: duration values of the N time instance(s) that can be predicted. </w:t>
            </w:r>
          </w:p>
          <w:p w:rsidR="006858FA" w:rsidRPr="00C73D2A" w:rsidRDefault="006858FA" w:rsidP="00C73D2A">
            <w:pPr>
              <w:spacing w:after="180"/>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C73D2A" w:rsidP="00C73D2A">
      <w:pPr>
        <w:pStyle w:val="Heading1"/>
      </w:pPr>
      <w:r>
        <w:t>Beam measurement</w:t>
      </w:r>
    </w:p>
    <w:p w:rsidR="00C73D2A" w:rsidRDefault="00C73D2A" w:rsidP="00C73D2A">
      <w:pPr>
        <w:pStyle w:val="0Maintext"/>
        <w:spacing w:after="120" w:afterAutospacing="0" w:line="240" w:lineRule="auto"/>
        <w:ind w:firstLine="0"/>
        <w:rPr>
          <w:lang w:val="en-US" w:eastAsia="zh-CN"/>
        </w:rPr>
      </w:pPr>
      <w:r>
        <w:rPr>
          <w:lang w:val="en-US" w:eastAsia="zh-CN"/>
        </w:rPr>
        <w:t xml:space="preserve">During the study in Rel-18, it is observed that the measurement error could cause significant performance loss for AI/ML based beam prediction. Therefore, it is necessary to improve the beam measurement accuracy. One possible way is to transmit the SSB/CSI-RS by multiple repetitions, so that UE can measure the L1-RSRP based on a higher measurement accuracy and UE can also identify the best UE beam corresponding to each measured beam. </w:t>
      </w:r>
    </w:p>
    <w:p w:rsidR="00C73D2A" w:rsidRPr="0046017F" w:rsidRDefault="00C73D2A" w:rsidP="00C73D2A">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C73D2A" w:rsidRDefault="00C73D2A" w:rsidP="00557396">
      <w:pPr>
        <w:pStyle w:val="0Maintext"/>
        <w:spacing w:after="120" w:afterAutospacing="0" w:line="240" w:lineRule="auto"/>
        <w:ind w:firstLine="0"/>
        <w:rPr>
          <w:lang w:val="en-US"/>
        </w:rPr>
      </w:pPr>
    </w:p>
    <w:p w:rsidR="00C73D2A" w:rsidRDefault="00C73D2A" w:rsidP="00C73D2A">
      <w:pPr>
        <w:pStyle w:val="Heading1"/>
      </w:pPr>
      <w:r>
        <w:t>Beam report</w:t>
      </w:r>
    </w:p>
    <w:p w:rsidR="00C73D2A" w:rsidRDefault="00C73D2A" w:rsidP="00C73D2A">
      <w:pPr>
        <w:pStyle w:val="Heading2"/>
      </w:pPr>
      <w:r>
        <w:t>Beam report for NW-side model</w:t>
      </w:r>
    </w:p>
    <w:p w:rsidR="00C73D2A" w:rsidRDefault="00C73D2A" w:rsidP="00C73D2A">
      <w:pPr>
        <w:pStyle w:val="0Maintext"/>
        <w:spacing w:after="120" w:afterAutospacing="0" w:line="240" w:lineRule="auto"/>
        <w:ind w:firstLine="0"/>
        <w:rPr>
          <w:lang w:val="en-US" w:eastAsia="zh-CN"/>
        </w:rPr>
      </w:pPr>
      <w:r>
        <w:rPr>
          <w:lang w:val="en-US" w:eastAsia="zh-CN"/>
        </w:rPr>
        <w:t>In RAN1 #117, the following on beam report for NW model has been agreed.</w:t>
      </w:r>
    </w:p>
    <w:tbl>
      <w:tblPr>
        <w:tblStyle w:val="TableGrid"/>
        <w:tblW w:w="0" w:type="auto"/>
        <w:tblLook w:val="04A0" w:firstRow="1" w:lastRow="0" w:firstColumn="1" w:lastColumn="0" w:noHBand="0" w:noVBand="1"/>
      </w:tblPr>
      <w:tblGrid>
        <w:gridCol w:w="9010"/>
      </w:tblGrid>
      <w:tr w:rsidR="00C73D2A" w:rsidTr="006B4EF6">
        <w:tc>
          <w:tcPr>
            <w:tcW w:w="9010" w:type="dxa"/>
          </w:tcPr>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At least for NW sided model, for the quantization of a reported L1-RSRP value at least for the report in L1 signaling, support</w:t>
            </w:r>
          </w:p>
          <w:p w:rsidR="00C73D2A" w:rsidRPr="00580AAD" w:rsidRDefault="00C73D2A" w:rsidP="006B4EF6">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t xml:space="preserve">Support differential L1-RSRP reporting with legacy quantization step and range </w:t>
            </w:r>
          </w:p>
          <w:p w:rsidR="00C73D2A" w:rsidRPr="00580AAD"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lastRenderedPageBreak/>
              <w:t>FFS: larger quantization step(s) than the already supported legacy quantization step for differential L1-RSRP and/or for absolute L1-RSRP</w:t>
            </w:r>
          </w:p>
          <w:p w:rsidR="00C73D2A" w:rsidRPr="004D43C7"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C73D2A" w:rsidRPr="00580AAD" w:rsidRDefault="00C73D2A" w:rsidP="006B4EF6">
            <w:pPr>
              <w:rPr>
                <w:rFonts w:eastAsia="DengXian"/>
                <w:sz w:val="20"/>
                <w:szCs w:val="20"/>
              </w:rPr>
            </w:pPr>
          </w:p>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C73D2A" w:rsidRPr="00580AAD" w:rsidRDefault="00C73D2A" w:rsidP="006B4EF6">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C73D2A" w:rsidRPr="00580AAD" w:rsidRDefault="00C73D2A" w:rsidP="006B4EF6">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C73D2A" w:rsidRDefault="00C73D2A" w:rsidP="006B4EF6">
            <w:pPr>
              <w:pStyle w:val="0Maintext"/>
              <w:spacing w:after="120" w:afterAutospacing="0" w:line="240" w:lineRule="auto"/>
              <w:ind w:firstLine="0"/>
              <w:rPr>
                <w:lang w:val="en-US" w:eastAsia="zh-CN"/>
              </w:rPr>
            </w:pPr>
          </w:p>
        </w:tc>
      </w:tr>
    </w:tbl>
    <w:p w:rsidR="00C73D2A" w:rsidRDefault="00C73D2A" w:rsidP="00C73D2A">
      <w:pPr>
        <w:pStyle w:val="0Maintext"/>
        <w:spacing w:after="120" w:afterAutospacing="0" w:line="240" w:lineRule="auto"/>
        <w:ind w:firstLine="0"/>
        <w:rPr>
          <w:lang w:val="en-US" w:eastAsia="zh-CN"/>
        </w:rPr>
      </w:pPr>
    </w:p>
    <w:p w:rsidR="00C73D2A" w:rsidRDefault="00C73D2A" w:rsidP="00C73D2A">
      <w:pPr>
        <w:pStyle w:val="0Maintext"/>
        <w:spacing w:after="120" w:afterAutospacing="0" w:line="240" w:lineRule="auto"/>
        <w:ind w:firstLine="0"/>
        <w:rPr>
          <w:lang w:val="en-US" w:eastAsia="zh-CN"/>
        </w:rPr>
      </w:pPr>
      <w:r>
        <w:rPr>
          <w:lang w:val="en-US" w:eastAsia="zh-CN"/>
        </w:rPr>
        <w:t>The first open issue is whether to consider a quantization step and range different from legacy quantization step and range. For different beam report purposes, e.g., beam report for inference, training and performance monitoring, the UE may need to measure different number of beams and the beam measurement accuracy could be different. Therefore, it is necessary to support configurable quantization step and range for L1-RSRP report including the differential L1-RSRP and absolute L1-RSRP.</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2</w:t>
      </w:r>
      <w:r w:rsidRPr="004D43C7">
        <w:rPr>
          <w:b/>
          <w:bCs/>
          <w:i/>
          <w:iCs/>
          <w:lang w:val="en-US" w:eastAsia="zh-CN"/>
        </w:rPr>
        <w:t>: Support configurable quantization step and range for different L1-RSRP and absolute L1-RSRP report.</w:t>
      </w:r>
    </w:p>
    <w:p w:rsidR="00C73D2A" w:rsidRDefault="00C73D2A" w:rsidP="00C73D2A">
      <w:pPr>
        <w:pStyle w:val="0Maintext"/>
        <w:spacing w:after="120" w:afterAutospacing="0" w:line="240" w:lineRule="auto"/>
        <w:ind w:firstLine="0"/>
        <w:rPr>
          <w:lang w:val="en-US" w:eastAsia="zh-CN"/>
        </w:rPr>
      </w:pPr>
      <w:r>
        <w:rPr>
          <w:lang w:val="en-US" w:eastAsia="zh-CN"/>
        </w:rPr>
        <w:t>The second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C73D2A" w:rsidRDefault="00C73D2A" w:rsidP="00C73D2A">
      <w:pPr>
        <w:pStyle w:val="0Maintext"/>
        <w:spacing w:after="120" w:afterAutospacing="0" w:line="240" w:lineRule="auto"/>
        <w:ind w:firstLine="0"/>
        <w:rPr>
          <w:lang w:val="en-US" w:eastAsia="zh-CN"/>
        </w:rPr>
      </w:pPr>
      <w:r>
        <w:rPr>
          <w:lang w:val="en-US" w:eastAsia="zh-CN"/>
        </w:rPr>
        <w:t>The third open issue is whether to consider some constraints for the selected beams for a beam report for NW side model. Different NW side model may require different model inputs. Then such kind of beam subset can be useful 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C73D2A" w:rsidRPr="004D43C7" w:rsidRDefault="00C73D2A" w:rsidP="00C73D2A">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C73D2A" w:rsidRDefault="00C73D2A" w:rsidP="00557396">
      <w:pPr>
        <w:pStyle w:val="0Maintext"/>
        <w:spacing w:after="120" w:afterAutospacing="0" w:line="240" w:lineRule="auto"/>
        <w:ind w:firstLine="0"/>
        <w:rPr>
          <w:lang w:val="en-US"/>
        </w:rPr>
      </w:pPr>
    </w:p>
    <w:p w:rsidR="00C73D2A" w:rsidRDefault="00C73D2A" w:rsidP="00557396">
      <w:pPr>
        <w:pStyle w:val="0Maintext"/>
        <w:spacing w:after="120" w:afterAutospacing="0" w:line="240" w:lineRule="auto"/>
        <w:ind w:firstLine="0"/>
        <w:rPr>
          <w:lang w:val="en-US"/>
        </w:rPr>
      </w:pPr>
      <w:r>
        <w:rPr>
          <w:lang w:val="en-US"/>
        </w:rPr>
        <w:t xml:space="preserve">Further, for BM case-2, the NW requires the beam report for historical status to predict the beam in future. However, as shown in Figure 1, the NW may fail to receive some beam report instances, which could cause </w:t>
      </w:r>
      <w:r>
        <w:rPr>
          <w:lang w:val="en-US"/>
        </w:rPr>
        <w:lastRenderedPageBreak/>
        <w:t>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A66498" w:rsidP="00A66498">
      <w:pPr>
        <w:pStyle w:val="0Maintext"/>
        <w:spacing w:after="120" w:afterAutospacing="0" w:line="240" w:lineRule="auto"/>
        <w:ind w:firstLine="0"/>
        <w:jc w:val="center"/>
        <w:rPr>
          <w:lang w:val="en-US"/>
        </w:rPr>
      </w:pPr>
      <w:r w:rsidRPr="00A66498">
        <w:rPr>
          <w:noProof/>
          <w:lang w:val="en-US"/>
        </w:rPr>
        <w:drawing>
          <wp:inline distT="0" distB="0" distL="0" distR="0" wp14:anchorId="432C0A76" wp14:editId="0FA11B33">
            <wp:extent cx="5727700" cy="2071370"/>
            <wp:effectExtent l="0" t="0" r="0" b="0"/>
            <wp:docPr id="1345624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24755"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A66498" w:rsidP="00A66498">
      <w:pPr>
        <w:pStyle w:val="Heading2"/>
      </w:pPr>
      <w:r>
        <w:rPr>
          <w:rFonts w:hint="eastAsia"/>
        </w:rPr>
        <w:t>Beam</w:t>
      </w:r>
      <w:r>
        <w:t xml:space="preserve"> report for inference results for UE-side model</w:t>
      </w:r>
    </w:p>
    <w:p w:rsidR="00A66498" w:rsidRDefault="00A66498" w:rsidP="00A66498">
      <w:pPr>
        <w:pStyle w:val="0Maintext"/>
        <w:spacing w:after="120" w:afterAutospacing="0" w:line="240" w:lineRule="auto"/>
        <w:ind w:firstLine="0"/>
        <w:rPr>
          <w:lang w:val="en-US" w:eastAsia="zh-CN"/>
        </w:rPr>
      </w:pPr>
      <w:r>
        <w:rPr>
          <w:lang w:val="en-US" w:eastAsia="zh-CN"/>
        </w:rPr>
        <w:t>For UE side model inference, in RAN1 #116</w:t>
      </w:r>
      <w:r w:rsidR="00F52E6A">
        <w:rPr>
          <w:lang w:val="en-US" w:eastAsia="zh-CN"/>
        </w:rPr>
        <w:t xml:space="preserve"> and RAN1 #118</w:t>
      </w:r>
      <w:r>
        <w:rPr>
          <w:lang w:val="en-US" w:eastAsia="zh-CN"/>
        </w:rPr>
        <w:t>, the following has been agreed.</w:t>
      </w:r>
    </w:p>
    <w:tbl>
      <w:tblPr>
        <w:tblStyle w:val="TableGrid"/>
        <w:tblW w:w="0" w:type="auto"/>
        <w:tblLook w:val="04A0" w:firstRow="1" w:lastRow="0" w:firstColumn="1" w:lastColumn="0" w:noHBand="0" w:noVBand="1"/>
      </w:tblPr>
      <w:tblGrid>
        <w:gridCol w:w="9010"/>
      </w:tblGrid>
      <w:tr w:rsidR="00A66498" w:rsidTr="006B4EF6">
        <w:tc>
          <w:tcPr>
            <w:tcW w:w="9010" w:type="dxa"/>
          </w:tcPr>
          <w:p w:rsidR="00A66498" w:rsidRPr="005F76F9" w:rsidRDefault="00A66498" w:rsidP="006B4EF6">
            <w:pPr>
              <w:rPr>
                <w:rFonts w:eastAsia="DengXian"/>
                <w:b/>
                <w:bCs/>
                <w:sz w:val="20"/>
                <w:szCs w:val="20"/>
                <w:highlight w:val="green"/>
              </w:rPr>
            </w:pPr>
            <w:r w:rsidRPr="005F76F9">
              <w:rPr>
                <w:rFonts w:eastAsia="DengXian"/>
                <w:b/>
                <w:bCs/>
                <w:sz w:val="20"/>
                <w:szCs w:val="20"/>
                <w:highlight w:val="green"/>
              </w:rPr>
              <w:t>Agreement</w:t>
            </w:r>
          </w:p>
          <w:p w:rsidR="00A66498" w:rsidRPr="005F76F9" w:rsidRDefault="00A66498" w:rsidP="006B4EF6">
            <w:pPr>
              <w:rPr>
                <w:sz w:val="20"/>
                <w:szCs w:val="20"/>
              </w:rPr>
            </w:pPr>
            <w:r w:rsidRPr="005F76F9">
              <w:rPr>
                <w:sz w:val="20"/>
                <w:szCs w:val="20"/>
              </w:rPr>
              <w:t xml:space="preserve">For UE-sided model, at least for BM-Case1, for content in the report of inference results, support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Opt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rPr>
              <w:t xml:space="preserve">Opt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A66498" w:rsidRDefault="00A66498" w:rsidP="006B4EF6">
            <w:pPr>
              <w:rPr>
                <w:sz w:val="20"/>
                <w:szCs w:val="20"/>
              </w:rPr>
            </w:pPr>
            <w:r w:rsidRPr="005F76F9">
              <w:rPr>
                <w:sz w:val="20"/>
                <w:szCs w:val="20"/>
              </w:rPr>
              <w:t>where the set of beams is Set A, i.e., the beams for UE prediction.</w:t>
            </w:r>
          </w:p>
          <w:p w:rsidR="00F52E6A" w:rsidRDefault="00F52E6A" w:rsidP="006B4EF6">
            <w:pPr>
              <w:rPr>
                <w:sz w:val="20"/>
                <w:szCs w:val="20"/>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lastRenderedPageBreak/>
              <w:t>For UE-sided model, for the quantization of a RSRP value at least for the report of inference results, support</w:t>
            </w:r>
          </w:p>
          <w:p w:rsidR="00F52E6A" w:rsidRPr="00FF2801" w:rsidRDefault="00F52E6A" w:rsidP="00F52E6A">
            <w:pPr>
              <w:pStyle w:val="ListParagraph"/>
              <w:numPr>
                <w:ilvl w:val="0"/>
                <w:numId w:val="689"/>
              </w:numPr>
              <w:spacing w:after="180"/>
              <w:ind w:leftChars="0"/>
              <w:rPr>
                <w:rFonts w:ascii="Times New Roman" w:hAnsi="Times New Roman"/>
                <w:szCs w:val="20"/>
              </w:rPr>
            </w:pPr>
            <w:r w:rsidRPr="00FF2801">
              <w:rPr>
                <w:rFonts w:ascii="Times New Roman" w:hAnsi="Times New Roman"/>
                <w:szCs w:val="20"/>
              </w:rPr>
              <w:t>Support differential RSRP reporting with legacy quantization step and range for L1-RSRP reporting</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For BM-Case 1, support differential RSRP report among multiple beams</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 xml:space="preserve">For BM-Case 2, support differential RSRP report among multiple beams over multiple time instances </w:t>
            </w:r>
          </w:p>
          <w:p w:rsidR="00F52E6A" w:rsidRPr="00FF2801" w:rsidRDefault="00F52E6A" w:rsidP="00F52E6A">
            <w:pPr>
              <w:pStyle w:val="ListParagraph"/>
              <w:numPr>
                <w:ilvl w:val="2"/>
                <w:numId w:val="689"/>
              </w:numPr>
              <w:spacing w:after="180"/>
              <w:ind w:leftChars="0"/>
              <w:rPr>
                <w:rFonts w:ascii="Times New Roman" w:hAnsi="Times New Roman"/>
                <w:b/>
                <w:bCs/>
                <w:color w:val="5B9BD5"/>
                <w:szCs w:val="20"/>
              </w:rPr>
            </w:pPr>
            <w:r w:rsidRPr="00FF2801">
              <w:rPr>
                <w:rFonts w:ascii="Times New Roman" w:hAnsi="Times New Roman"/>
                <w:szCs w:val="20"/>
                <w:lang w:eastAsia="zh-CN"/>
              </w:rPr>
              <w:t>FFS details</w:t>
            </w:r>
          </w:p>
          <w:p w:rsidR="00F52E6A" w:rsidRPr="00FF2801" w:rsidRDefault="00F52E6A" w:rsidP="00F52E6A">
            <w:pPr>
              <w:pStyle w:val="ListParagraph"/>
              <w:tabs>
                <w:tab w:val="left" w:pos="360"/>
                <w:tab w:val="left" w:pos="1080"/>
              </w:tabs>
              <w:ind w:leftChars="0" w:left="720"/>
              <w:rPr>
                <w:rFonts w:ascii="Times New Roman" w:eastAsia="DengXian" w:hAnsi="Times New Roman"/>
                <w:szCs w:val="20"/>
                <w:highlight w:val="darkYellow"/>
                <w:lang w:eastAsia="zh-CN"/>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95"/>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95"/>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95"/>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F2801"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p w:rsidR="00F52E6A" w:rsidRPr="00F52E6A" w:rsidRDefault="00F52E6A" w:rsidP="006B4EF6">
            <w:pPr>
              <w:rPr>
                <w:sz w:val="20"/>
                <w:szCs w:val="20"/>
                <w:lang w:val="en-GB"/>
              </w:rPr>
            </w:pPr>
          </w:p>
        </w:tc>
      </w:tr>
    </w:tbl>
    <w:p w:rsidR="00A66498" w:rsidRDefault="00A66498" w:rsidP="00A66498">
      <w:pPr>
        <w:pStyle w:val="0Maintext"/>
        <w:spacing w:after="120" w:afterAutospacing="0" w:line="240" w:lineRule="auto"/>
        <w:ind w:firstLine="0"/>
        <w:rPr>
          <w:lang w:val="en-US" w:eastAsia="zh-CN"/>
        </w:rPr>
      </w:pPr>
    </w:p>
    <w:p w:rsidR="00A66498" w:rsidRDefault="00A66498" w:rsidP="00A66498">
      <w:pPr>
        <w:pStyle w:val="0Maintext"/>
        <w:spacing w:after="120" w:afterAutospacing="0" w:line="240" w:lineRule="auto"/>
        <w:ind w:firstLine="0"/>
        <w:rPr>
          <w:lang w:val="en-US" w:eastAsia="zh-CN"/>
        </w:rPr>
      </w:pPr>
      <w:r>
        <w:rPr>
          <w:lang w:val="en-US" w:eastAsia="zh-CN"/>
        </w:rPr>
        <w:t xml:space="preserve">One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w:t>
      </w:r>
      <w:r w:rsidR="00F52E6A">
        <w:rPr>
          <w:lang w:val="en-US" w:eastAsia="zh-CN"/>
        </w:rPr>
        <w:t>2</w:t>
      </w:r>
      <w:r>
        <w:rPr>
          <w:lang w:val="en-US" w:eastAsia="zh-CN"/>
        </w:rPr>
        <w:t>. Therefore, similar to the legacy beam report, which beams should be reported is up to UE implementations. The spec should only define the number of reported beams.</w:t>
      </w:r>
    </w:p>
    <w:p w:rsidR="00A66498" w:rsidRDefault="00A66498" w:rsidP="00A66498">
      <w:pPr>
        <w:pStyle w:val="0Maintext"/>
        <w:spacing w:after="120" w:afterAutospacing="0" w:line="240" w:lineRule="auto"/>
        <w:ind w:firstLine="0"/>
        <w:jc w:val="center"/>
        <w:rPr>
          <w:lang w:val="en-US" w:eastAsia="zh-CN"/>
        </w:rPr>
      </w:pPr>
      <w:r w:rsidRPr="004231FA">
        <w:rPr>
          <w:noProof/>
          <w:lang w:val="en-US" w:eastAsia="zh-CN"/>
        </w:rPr>
        <w:drawing>
          <wp:inline distT="0" distB="0" distL="0" distR="0" wp14:anchorId="37DF291E" wp14:editId="073935A6">
            <wp:extent cx="5089161" cy="2858845"/>
            <wp:effectExtent l="0" t="0" r="0" b="0"/>
            <wp:docPr id="1279905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6"/>
                    <a:stretch>
                      <a:fillRect/>
                    </a:stretch>
                  </pic:blipFill>
                  <pic:spPr>
                    <a:xfrm>
                      <a:off x="0" y="0"/>
                      <a:ext cx="5114191" cy="2872906"/>
                    </a:xfrm>
                    <a:prstGeom prst="rect">
                      <a:avLst/>
                    </a:prstGeom>
                  </pic:spPr>
                </pic:pic>
              </a:graphicData>
            </a:graphic>
          </wp:inline>
        </w:drawing>
      </w:r>
    </w:p>
    <w:p w:rsidR="00A66498" w:rsidRPr="004231FA" w:rsidRDefault="00A66498" w:rsidP="00A66498">
      <w:pPr>
        <w:pStyle w:val="0Maintext"/>
        <w:spacing w:after="120" w:afterAutospacing="0" w:line="240" w:lineRule="auto"/>
        <w:ind w:firstLine="0"/>
        <w:jc w:val="center"/>
        <w:rPr>
          <w:b/>
          <w:bCs/>
          <w:lang w:val="en-US" w:eastAsia="zh-CN"/>
        </w:rPr>
      </w:pPr>
      <w:r w:rsidRPr="004231FA">
        <w:rPr>
          <w:b/>
          <w:bCs/>
          <w:lang w:val="en-US" w:eastAsia="zh-CN"/>
        </w:rPr>
        <w:t xml:space="preserve">Figure </w:t>
      </w:r>
      <w:r w:rsidR="00F52E6A">
        <w:rPr>
          <w:b/>
          <w:bCs/>
          <w:lang w:val="en-US" w:eastAsia="zh-CN"/>
        </w:rPr>
        <w:t>2</w:t>
      </w:r>
      <w:r w:rsidRPr="004231FA">
        <w:rPr>
          <w:b/>
          <w:bCs/>
          <w:lang w:val="en-US" w:eastAsia="zh-CN"/>
        </w:rPr>
        <w:t>: Top-K beam selection based on the probability and spatial correlation for the beams</w:t>
      </w:r>
    </w:p>
    <w:p w:rsidR="00A66498" w:rsidRDefault="00F52E6A" w:rsidP="00A66498">
      <w:pPr>
        <w:pStyle w:val="0Maintext"/>
        <w:spacing w:after="120" w:afterAutospacing="0" w:line="240" w:lineRule="auto"/>
        <w:ind w:firstLine="0"/>
        <w:rPr>
          <w:lang w:val="en-US" w:eastAsia="zh-CN"/>
        </w:rPr>
      </w:pPr>
      <w:r>
        <w:rPr>
          <w:lang w:val="en-US" w:eastAsia="zh-CN"/>
        </w:rPr>
        <w:t>The second</w:t>
      </w:r>
      <w:r w:rsidR="00A66498">
        <w:rPr>
          <w:lang w:val="en-US" w:eastAsia="zh-CN"/>
        </w:rPr>
        <w:t xml:space="preserve">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A66498" w:rsidRDefault="00A66498" w:rsidP="00A66498">
      <w:pPr>
        <w:pStyle w:val="0Maintext"/>
        <w:spacing w:after="120" w:afterAutospacing="0" w:line="240" w:lineRule="auto"/>
        <w:ind w:firstLine="0"/>
        <w:rPr>
          <w:lang w:val="en-US" w:eastAsia="zh-CN"/>
        </w:rPr>
      </w:pPr>
      <w:r>
        <w:rPr>
          <w:lang w:val="en-US" w:eastAsia="zh-CN"/>
        </w:rPr>
        <w:t xml:space="preserve">The </w:t>
      </w:r>
      <w:r w:rsidR="00F52E6A">
        <w:rPr>
          <w:lang w:val="en-US" w:eastAsia="zh-CN"/>
        </w:rPr>
        <w:t>third</w:t>
      </w:r>
      <w:r>
        <w:rPr>
          <w:lang w:val="en-US" w:eastAsia="zh-CN"/>
        </w:rPr>
        <w:t xml:space="preserve">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F52E6A" w:rsidRDefault="00F52E6A" w:rsidP="00F52E6A">
      <w:pPr>
        <w:pStyle w:val="0Maintext"/>
        <w:spacing w:after="120" w:afterAutospacing="0" w:line="240" w:lineRule="auto"/>
        <w:ind w:firstLine="0"/>
        <w:rPr>
          <w:lang w:val="en-US"/>
        </w:rPr>
      </w:pPr>
      <w:r>
        <w:rPr>
          <w:lang w:val="en-US"/>
        </w:rPr>
        <w:lastRenderedPageBreak/>
        <w:t xml:space="preserve">Another open issue is how to calculate the different RSRP for BM case 2. One simple way is to calculate the differential RSRP based on the absolute RSRP, which is similar to current L1-RSRP report. </w:t>
      </w:r>
    </w:p>
    <w:p w:rsidR="00F52E6A" w:rsidRDefault="00F52E6A" w:rsidP="00A66498">
      <w:pPr>
        <w:pStyle w:val="0Maintext"/>
        <w:spacing w:after="120" w:afterAutospacing="0" w:line="240" w:lineRule="auto"/>
        <w:ind w:firstLine="0"/>
        <w:rPr>
          <w:lang w:val="en-US" w:eastAsia="zh-CN"/>
        </w:rPr>
      </w:pPr>
    </w:p>
    <w:p w:rsidR="00A66498" w:rsidRPr="00EE4C05" w:rsidRDefault="00A66498" w:rsidP="00A66498">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5133CD">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A66498" w:rsidRDefault="00A66498" w:rsidP="00A66498">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A66498" w:rsidRP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A66498" w:rsidRDefault="00A66498" w:rsidP="00557396">
      <w:pPr>
        <w:pStyle w:val="0Maintext"/>
        <w:spacing w:after="120" w:afterAutospacing="0" w:line="240" w:lineRule="auto"/>
        <w:ind w:firstLine="0"/>
        <w:rPr>
          <w:lang w:val="en-US"/>
        </w:rPr>
      </w:pPr>
    </w:p>
    <w:p w:rsidR="00F52E6A" w:rsidRDefault="00F52E6A" w:rsidP="00F52E6A">
      <w:pPr>
        <w:pStyle w:val="Heading1"/>
      </w:pPr>
      <w:r>
        <w:t>Beam indication</w:t>
      </w:r>
    </w:p>
    <w:p w:rsidR="00F52E6A" w:rsidRDefault="00F52E6A" w:rsidP="00F52E6A">
      <w:pPr>
        <w:pStyle w:val="Heading2"/>
      </w:pPr>
      <w:r>
        <w:t>TCI activation/indication for BM case 1</w:t>
      </w:r>
    </w:p>
    <w:p w:rsidR="00F52E6A" w:rsidRDefault="00F52E6A" w:rsidP="00F52E6A">
      <w:pPr>
        <w:pStyle w:val="0Maintext"/>
        <w:spacing w:after="120" w:afterAutospacing="0" w:line="240" w:lineRule="auto"/>
        <w:ind w:firstLine="0"/>
        <w:rPr>
          <w:lang w:val="en-US" w:eastAsia="zh-CN"/>
        </w:rPr>
      </w:pPr>
      <w:r>
        <w:rPr>
          <w:lang w:val="en-US" w:eastAsia="zh-CN"/>
        </w:rPr>
        <w:t xml:space="preserve">Currently, the QCL rule is defined as Figure 3.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it is better to consider dynamic activation/deactivation for TRS. </w:t>
      </w:r>
    </w:p>
    <w:p w:rsidR="00F52E6A" w:rsidRDefault="00F52E6A" w:rsidP="00F52E6A">
      <w:pPr>
        <w:pStyle w:val="0Maintext"/>
        <w:spacing w:after="120" w:afterAutospacing="0" w:line="240" w:lineRule="auto"/>
        <w:ind w:firstLine="0"/>
        <w:jc w:val="center"/>
        <w:rPr>
          <w:lang w:val="en-US" w:eastAsia="zh-CN"/>
        </w:rPr>
      </w:pPr>
      <w:r>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14:anchorId="6ABC1776" wp14:editId="4CDCE86D">
            <wp:extent cx="3011291" cy="2509520"/>
            <wp:effectExtent l="0" t="0" r="0" b="5080"/>
            <wp:docPr id="140780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F52E6A" w:rsidRPr="00A25CBF" w:rsidRDefault="00F52E6A" w:rsidP="00F52E6A">
      <w:pPr>
        <w:pStyle w:val="0Maintext"/>
        <w:spacing w:after="120" w:afterAutospacing="0" w:line="240" w:lineRule="auto"/>
        <w:ind w:firstLine="0"/>
        <w:jc w:val="center"/>
        <w:rPr>
          <w:b/>
          <w:bCs/>
          <w:lang w:val="en-US" w:eastAsia="zh-CN"/>
        </w:rPr>
      </w:pPr>
      <w:r w:rsidRPr="00A25CBF">
        <w:rPr>
          <w:b/>
          <w:bCs/>
          <w:lang w:val="en-US" w:eastAsia="zh-CN"/>
        </w:rPr>
        <w:t xml:space="preserve">Figure </w:t>
      </w:r>
      <w:r>
        <w:rPr>
          <w:b/>
          <w:bCs/>
          <w:lang w:val="en-US" w:eastAsia="zh-CN"/>
        </w:rPr>
        <w:t>3</w:t>
      </w:r>
      <w:r w:rsidRPr="00A25CBF">
        <w:rPr>
          <w:b/>
          <w:bCs/>
          <w:lang w:val="en-US" w:eastAsia="zh-CN"/>
        </w:rPr>
        <w:t>: Current QCL rule</w:t>
      </w:r>
    </w:p>
    <w:p w:rsidR="00F52E6A" w:rsidRPr="006C60F6" w:rsidRDefault="00F52E6A" w:rsidP="00F52E6A">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5133CD">
        <w:rPr>
          <w:b/>
          <w:bCs/>
          <w:i/>
          <w:iCs/>
          <w:lang w:val="en-US" w:eastAsia="zh-CN"/>
        </w:rPr>
        <w:t>7</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F52E6A" w:rsidRDefault="00F52E6A" w:rsidP="00F52E6A">
      <w:pPr>
        <w:pStyle w:val="0Maintext"/>
        <w:spacing w:after="120" w:afterAutospacing="0" w:line="240" w:lineRule="auto"/>
        <w:ind w:firstLine="0"/>
        <w:rPr>
          <w:lang w:val="en-US" w:eastAsia="zh-CN"/>
        </w:rPr>
      </w:pPr>
      <w:r>
        <w:rPr>
          <w:lang w:val="en-US" w:eastAsia="zh-CN"/>
        </w:rPr>
        <w:t>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QCLed with the SSB/CSI-RS configured as the QCL source in the TCI state and the UE can measure the time/frequency offset and Rx beam based on the aperiodic CSI-RS resources. For joint TCI state, UE can also measure the pathloss based on the aperiodic CSI-RS resources.</w:t>
      </w:r>
    </w:p>
    <w:p w:rsidR="00F52E6A"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5133CD">
        <w:rPr>
          <w:b/>
          <w:bCs/>
          <w:i/>
          <w:iCs/>
          <w:lang w:val="en-US" w:eastAsia="zh-CN"/>
        </w:rPr>
        <w:t>8</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lastRenderedPageBreak/>
        <w:t>UE measures time/frequency offset and Rx beam based on the aperiodic CSI-RS resources</w:t>
      </w:r>
    </w:p>
    <w:p w:rsidR="00F52E6A" w:rsidRPr="00154B1C"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F52E6A" w:rsidRDefault="00F52E6A" w:rsidP="00F52E6A"/>
    <w:p w:rsidR="00F52E6A" w:rsidRDefault="00F52E6A" w:rsidP="00F52E6A">
      <w:pPr>
        <w:pStyle w:val="Heading2"/>
      </w:pPr>
      <w:r>
        <w:t>TCI activation/indication for BM case 2</w:t>
      </w:r>
    </w:p>
    <w:p w:rsidR="00F52E6A" w:rsidRDefault="00F52E6A" w:rsidP="00F52E6A">
      <w:pPr>
        <w:pStyle w:val="0Maintext"/>
        <w:spacing w:after="120" w:afterAutospacing="0" w:line="240" w:lineRule="auto"/>
        <w:ind w:firstLine="0"/>
        <w:rPr>
          <w:lang w:val="en-US" w:eastAsia="zh-CN"/>
        </w:rPr>
      </w:pPr>
      <w:r>
        <w:rPr>
          <w:lang w:val="en-US" w:eastAsia="zh-CN"/>
        </w:rPr>
        <w:t xml:space="preserve">For temporal beam prediction, the NW can indicate the action 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 </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5133CD">
        <w:rPr>
          <w:b/>
          <w:bCs/>
          <w:i/>
          <w:iCs/>
          <w:lang w:val="en-US" w:eastAsia="zh-CN"/>
        </w:rPr>
        <w:t>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5133CD">
        <w:rPr>
          <w:b/>
          <w:bCs/>
          <w:i/>
          <w:iCs/>
          <w:lang w:val="en-US" w:eastAsia="zh-CN"/>
        </w:rPr>
        <w:t>10</w:t>
      </w:r>
      <w:r w:rsidRPr="009146C0">
        <w:rPr>
          <w:b/>
          <w:bCs/>
          <w:i/>
          <w:iCs/>
          <w:lang w:val="en-US" w:eastAsia="zh-CN"/>
        </w:rPr>
        <w:t>: Support to configure the action delay for the TCI state for beam prediction.</w:t>
      </w:r>
    </w:p>
    <w:p w:rsidR="00F52E6A" w:rsidRDefault="00F52E6A" w:rsidP="00F52E6A">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F52E6A" w:rsidRDefault="00F52E6A" w:rsidP="00F52E6A">
      <w:pPr>
        <w:pStyle w:val="0Maintext"/>
        <w:spacing w:after="120" w:afterAutospacing="0" w:line="240" w:lineRule="auto"/>
        <w:ind w:firstLine="0"/>
        <w:rPr>
          <w:lang w:val="en-US" w:eastAsia="zh-CN"/>
        </w:rPr>
      </w:pPr>
      <w:r>
        <w:rPr>
          <w:lang w:val="en-US" w:eastAsia="zh-CN"/>
        </w:rPr>
        <w:t xml:space="preserve">Figure 4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F52E6A" w:rsidRDefault="009642E4" w:rsidP="00F52E6A">
      <w:pPr>
        <w:pStyle w:val="0Maintext"/>
        <w:spacing w:after="120" w:afterAutospacing="0" w:line="240" w:lineRule="auto"/>
        <w:ind w:firstLine="0"/>
        <w:jc w:val="center"/>
        <w:rPr>
          <w:lang w:val="en-US" w:eastAsia="zh-CN"/>
        </w:rPr>
      </w:pPr>
      <w:r>
        <w:rPr>
          <w:noProof/>
        </w:rPr>
        <w:object w:dxaOrig="11026" w:dyaOrig="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pt;height:161.8pt;mso-width-percent:0;mso-height-percent:0;mso-width-percent:0;mso-height-percent:0" o:ole="">
            <v:imagedata r:id="rId8" o:title=""/>
          </v:shape>
          <o:OLEObject Type="Embed" ProgID="Visio.Drawing.15" ShapeID="_x0000_i1025" DrawAspect="Content" ObjectID="_1788944951" r:id="rId9"/>
        </w:object>
      </w:r>
    </w:p>
    <w:p w:rsidR="00F52E6A" w:rsidRPr="00CA51FB" w:rsidRDefault="00F52E6A" w:rsidP="00F52E6A">
      <w:pPr>
        <w:pStyle w:val="0Maintext"/>
        <w:spacing w:after="120" w:afterAutospacing="0" w:line="240" w:lineRule="auto"/>
        <w:ind w:firstLine="0"/>
        <w:jc w:val="center"/>
        <w:rPr>
          <w:b/>
          <w:lang w:val="en-US" w:eastAsia="zh-CN"/>
        </w:rPr>
      </w:pPr>
      <w:r>
        <w:rPr>
          <w:b/>
          <w:lang w:val="en-US" w:eastAsia="zh-CN"/>
        </w:rPr>
        <w:t>Figure 4</w:t>
      </w:r>
      <w:r w:rsidRPr="00CA51FB">
        <w:rPr>
          <w:b/>
          <w:lang w:val="en-US" w:eastAsia="zh-CN"/>
        </w:rPr>
        <w:t>: UE feedback on performance validation for time domain beam prediction</w:t>
      </w:r>
    </w:p>
    <w:p w:rsidR="00F52E6A"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5133CD">
        <w:rPr>
          <w:b/>
          <w:i/>
          <w:lang w:val="en-US" w:eastAsia="zh-CN"/>
        </w:rPr>
        <w:t>11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F52E6A" w:rsidRPr="007571AE"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5133CD">
        <w:rPr>
          <w:b/>
          <w:i/>
          <w:lang w:val="en-US" w:eastAsia="zh-CN"/>
        </w:rPr>
        <w:t>12</w:t>
      </w:r>
      <w:r>
        <w:rPr>
          <w:b/>
          <w:i/>
          <w:lang w:val="en-US" w:eastAsia="zh-CN"/>
        </w:rPr>
        <w:t>:  Support UE feedback before the beam action time for performance validation for predicted beam in addition to the ACK/NACK for the TCI update signaling for temporal beam prediction.</w:t>
      </w:r>
    </w:p>
    <w:p w:rsidR="00F52E6A" w:rsidRDefault="00F52E6A" w:rsidP="00F52E6A"/>
    <w:p w:rsidR="00F52E6A" w:rsidRDefault="00F52E6A" w:rsidP="00F52E6A">
      <w:pPr>
        <w:pStyle w:val="Heading1"/>
      </w:pPr>
      <w:r>
        <w:t>Beam failure recovery</w:t>
      </w:r>
    </w:p>
    <w:p w:rsidR="00F52E6A" w:rsidRDefault="00F52E6A" w:rsidP="00F52E6A">
      <w:pPr>
        <w:pStyle w:val="0Maintext"/>
        <w:spacing w:after="120" w:afterAutospacing="0" w:line="240" w:lineRule="auto"/>
        <w:ind w:firstLine="0"/>
        <w:rPr>
          <w:lang w:val="en-US" w:eastAsia="zh-CN"/>
        </w:rPr>
      </w:pPr>
      <w:r>
        <w:rPr>
          <w:lang w:val="en-US" w:eastAsia="zh-CN"/>
        </w:rPr>
        <w:t xml:space="preserve">For BFR based on NW side model for BM case 1, after UE declares beam failure, if the UE cannot identify a candidate beam, it can report L1-RSRP for a set of SSBs/CSI-RSs configured by the NW. Then the NW can predict the best beam based on the reported L1-RSRP for the set of SSBs/CSI-RSs. Therefore, if the UE cannot </w:t>
      </w:r>
      <w:r>
        <w:rPr>
          <w:lang w:val="en-US" w:eastAsia="zh-CN"/>
        </w:rPr>
        <w:lastRenderedPageBreak/>
        <w:t>identify a candidate beam, it can trigger a UE initiated beam report to report the L1-RSRP for a set of SSBs/CSI-RSs configured by the NW.</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1,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5133CD">
        <w:rPr>
          <w:b/>
          <w:bCs/>
          <w:i/>
          <w:iCs/>
          <w:lang w:val="en-US" w:eastAsia="zh-CN"/>
        </w:rPr>
        <w:t>13</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5133CD">
        <w:rPr>
          <w:b/>
          <w:bCs/>
          <w:i/>
          <w:iCs/>
          <w:lang w:val="en-US" w:eastAsia="zh-CN"/>
        </w:rPr>
        <w:t>14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2, after UE declares beam failure, if the UE cannot identify a candidate beam, it can report L1-RSRP for a set of SSBs/CSI-RSs configured by the NW for multiple measured slots. Then the NW can predict the beam for further slots, and the NW can indicate the beam for future slots by BFRR.</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2, after UE declares beam failure, if the UE cannot identify a candidate beam, it can report the predicted beam in one or multiple future slots. The UE can report the beam index(es) for future slot(s)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5133CD">
        <w:rPr>
          <w:b/>
          <w:bCs/>
          <w:i/>
          <w:iCs/>
          <w:lang w:val="en-US" w:eastAsia="zh-CN"/>
        </w:rPr>
        <w:t>15</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5133CD">
        <w:rPr>
          <w:b/>
          <w:bCs/>
          <w:i/>
          <w:iCs/>
          <w:lang w:val="en-US" w:eastAsia="zh-CN"/>
        </w:rPr>
        <w:t>16</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F52E6A" w:rsidRDefault="00F52E6A" w:rsidP="00F52E6A"/>
    <w:p w:rsidR="00F52E6A" w:rsidRDefault="00F52E6A" w:rsidP="00F52E6A">
      <w:pPr>
        <w:pStyle w:val="Heading1"/>
      </w:pPr>
      <w:r>
        <w:t>Set A RS configuration</w:t>
      </w:r>
    </w:p>
    <w:p w:rsidR="00F52E6A" w:rsidRDefault="00F52E6A" w:rsidP="00F52E6A">
      <w:pPr>
        <w:pStyle w:val="0Maintext"/>
        <w:spacing w:after="120" w:afterAutospacing="0" w:line="240" w:lineRule="auto"/>
        <w:ind w:firstLine="0"/>
        <w:rPr>
          <w:lang w:val="en-US" w:eastAsia="zh-CN"/>
        </w:rPr>
      </w:pPr>
      <w:r>
        <w:rPr>
          <w:lang w:val="en-US" w:eastAsia="zh-CN"/>
        </w:rPr>
        <w:t>In RAN1 #118, the following has been agreed for the set A configuration.</w:t>
      </w:r>
    </w:p>
    <w:tbl>
      <w:tblPr>
        <w:tblStyle w:val="TableGrid"/>
        <w:tblW w:w="0" w:type="auto"/>
        <w:tblLook w:val="04A0" w:firstRow="1" w:lastRow="0" w:firstColumn="1" w:lastColumn="0" w:noHBand="0" w:noVBand="1"/>
      </w:tblPr>
      <w:tblGrid>
        <w:gridCol w:w="9010"/>
      </w:tblGrid>
      <w:tr w:rsidR="00F52E6A" w:rsidTr="006B4EF6">
        <w:tc>
          <w:tcPr>
            <w:tcW w:w="9010" w:type="dxa"/>
          </w:tcPr>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82"/>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82"/>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82"/>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52E6A"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tc>
      </w:tr>
    </w:tbl>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Thus, the NW may configure a list of reference signals as set A RS. The set A RS can be used for data collection or performance monitoring. But with regard to the overhead of the set A RS, the NW does not need to transmit the set A RS frequently. </w:t>
      </w:r>
      <w:r w:rsidR="00401C6F">
        <w:rPr>
          <w:lang w:val="en-US" w:eastAsia="zh-CN"/>
        </w:rPr>
        <w:t>Therefore, one simple way is to configure the set A RS in aperiodic manner. Then, with regard to the data collection and performance monitoring for multiple UEs, the NW can trigger the aperiodic CSI-RS resources as set A by a group-cast DCI.</w:t>
      </w:r>
      <w:r w:rsidR="001773F7">
        <w:rPr>
          <w:lang w:val="en-US" w:eastAsia="zh-CN"/>
        </w:rPr>
        <w:t xml:space="preserve"> </w:t>
      </w:r>
    </w:p>
    <w:p w:rsidR="00401C6F" w:rsidRPr="00356952" w:rsidRDefault="00401C6F" w:rsidP="00401C6F">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5133CD">
        <w:rPr>
          <w:b/>
          <w:bCs/>
          <w:i/>
          <w:iCs/>
          <w:lang w:val="en-US" w:eastAsia="zh-CN"/>
        </w:rPr>
        <w:t>17</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F52E6A" w:rsidRPr="00356952" w:rsidRDefault="00F52E6A" w:rsidP="00F52E6A">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5133CD">
        <w:rPr>
          <w:b/>
          <w:bCs/>
          <w:i/>
          <w:iCs/>
          <w:lang w:val="en-US" w:eastAsia="zh-CN"/>
        </w:rPr>
        <w:t>18</w:t>
      </w:r>
      <w:r w:rsidRPr="00356952">
        <w:rPr>
          <w:b/>
          <w:bCs/>
          <w:i/>
          <w:iCs/>
          <w:lang w:val="en-US" w:eastAsia="zh-CN"/>
        </w:rPr>
        <w:t>: For Set A RS, support the NW configures 1-port CSI-RS and UE shall not expect the NW multiplex any other DL RS in the same symbol with the set A RS.</w:t>
      </w:r>
    </w:p>
    <w:p w:rsidR="00F52E6A" w:rsidRPr="00356952" w:rsidRDefault="00F52E6A" w:rsidP="00F52E6A">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F52E6A" w:rsidRDefault="00F52E6A" w:rsidP="00F52E6A">
      <w:pPr>
        <w:pStyle w:val="0Maintext"/>
        <w:spacing w:after="120" w:afterAutospacing="0" w:line="240" w:lineRule="auto"/>
        <w:ind w:firstLine="0"/>
        <w:rPr>
          <w:lang w:val="en-US" w:eastAsia="zh-CN"/>
        </w:rPr>
      </w:pPr>
    </w:p>
    <w:p w:rsidR="00F52E6A" w:rsidRDefault="005133CD" w:rsidP="005F50BF">
      <w:pPr>
        <w:pStyle w:val="Heading1"/>
      </w:pPr>
      <w:r>
        <w:t>Performance monitoring</w:t>
      </w:r>
    </w:p>
    <w:p w:rsidR="001773F7" w:rsidRDefault="005F50BF" w:rsidP="005F50BF">
      <w:pPr>
        <w:pStyle w:val="0Maintext"/>
        <w:spacing w:after="120" w:afterAutospacing="0" w:line="240" w:lineRule="auto"/>
        <w:ind w:firstLine="0"/>
        <w:rPr>
          <w:lang w:val="en-US" w:eastAsia="zh-CN"/>
        </w:rPr>
      </w:pPr>
      <w:r w:rsidRPr="005F50BF">
        <w:rPr>
          <w:lang w:val="en-US" w:eastAsia="zh-CN"/>
        </w:rPr>
        <w:t xml:space="preserve">For </w:t>
      </w:r>
      <w:r w:rsidR="005133CD">
        <w:rPr>
          <w:lang w:val="en-US" w:eastAsia="zh-CN"/>
        </w:rPr>
        <w:t>performance monitoring</w:t>
      </w:r>
      <w:r w:rsidRPr="005F50BF">
        <w:rPr>
          <w:lang w:val="en-US" w:eastAsia="zh-CN"/>
        </w:rPr>
        <w:t>, the following has been agreed in RAN1 #11</w:t>
      </w:r>
      <w:r w:rsidR="00F20141">
        <w:rPr>
          <w:lang w:val="en-US" w:eastAsia="zh-CN"/>
        </w:rPr>
        <w:t>7 and RAN1 #11</w:t>
      </w:r>
      <w:r w:rsidRPr="005F50BF">
        <w:rPr>
          <w:lang w:val="en-US" w:eastAsia="zh-CN"/>
        </w:rPr>
        <w:t>8 meeting</w:t>
      </w:r>
      <w:r w:rsidR="00F20141">
        <w:rPr>
          <w:lang w:val="en-US" w:eastAsia="zh-CN"/>
        </w:rPr>
        <w:t>s</w:t>
      </w:r>
      <w:r w:rsidRPr="005F50BF">
        <w:rPr>
          <w:lang w:val="en-US" w:eastAsia="zh-CN"/>
        </w:rPr>
        <w:t>.</w:t>
      </w:r>
    </w:p>
    <w:tbl>
      <w:tblPr>
        <w:tblStyle w:val="TableGrid"/>
        <w:tblW w:w="0" w:type="auto"/>
        <w:tblLook w:val="04A0" w:firstRow="1" w:lastRow="0" w:firstColumn="1" w:lastColumn="0" w:noHBand="0" w:noVBand="1"/>
      </w:tblPr>
      <w:tblGrid>
        <w:gridCol w:w="9010"/>
      </w:tblGrid>
      <w:tr w:rsidR="005F50BF" w:rsidRPr="00F20141" w:rsidTr="005F50BF">
        <w:tc>
          <w:tcPr>
            <w:tcW w:w="9010" w:type="dxa"/>
          </w:tcPr>
          <w:p w:rsidR="00F20141" w:rsidRPr="00F20141" w:rsidRDefault="00F20141" w:rsidP="00F20141">
            <w:pPr>
              <w:rPr>
                <w:rFonts w:eastAsia="DengXian"/>
                <w:sz w:val="20"/>
                <w:szCs w:val="20"/>
                <w:highlight w:val="green"/>
              </w:rPr>
            </w:pPr>
            <w:r w:rsidRPr="00F20141">
              <w:rPr>
                <w:rFonts w:eastAsia="DengXian"/>
                <w:sz w:val="20"/>
                <w:szCs w:val="20"/>
                <w:highlight w:val="green"/>
              </w:rPr>
              <w:t>Agreement</w:t>
            </w:r>
          </w:p>
          <w:p w:rsidR="00F20141" w:rsidRPr="00F20141" w:rsidRDefault="00F20141" w:rsidP="00F20141">
            <w:pPr>
              <w:rPr>
                <w:bCs/>
                <w:sz w:val="20"/>
                <w:szCs w:val="20"/>
              </w:rPr>
            </w:pPr>
            <w:r w:rsidRPr="00F20141">
              <w:rPr>
                <w:bCs/>
                <w:sz w:val="20"/>
                <w:szCs w:val="20"/>
              </w:rPr>
              <w:t>For BM-Case1 and BM-Case2 with a UE-side AI/ML model:</w:t>
            </w:r>
          </w:p>
          <w:p w:rsidR="00F20141" w:rsidRPr="00F20141" w:rsidRDefault="00F20141" w:rsidP="00F20141">
            <w:pPr>
              <w:pStyle w:val="B1"/>
              <w:numPr>
                <w:ilvl w:val="0"/>
                <w:numId w:val="688"/>
              </w:numPr>
              <w:rPr>
                <w:rFonts w:eastAsia="Yu Mincho"/>
                <w:bCs/>
              </w:rPr>
            </w:pPr>
            <w:r w:rsidRPr="00F20141">
              <w:t>Support Type 1 performance monitoring</w:t>
            </w:r>
            <w:r w:rsidRPr="00F20141">
              <w:rPr>
                <w:rFonts w:eastAsia="DengXian"/>
                <w:lang w:eastAsia="zh-CN"/>
              </w:rPr>
              <w:t>, including the following two options</w:t>
            </w:r>
            <w:r w:rsidRPr="00F20141">
              <w:rPr>
                <w:bCs/>
                <w:lang w:eastAsia="zh-CN"/>
              </w:rPr>
              <w:t xml:space="preserve">: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1 (NW-side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sends a report to NW (for the calculation of performance metric at NW)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Measurement results</w:t>
            </w:r>
            <w:r w:rsidRPr="00F20141">
              <w:rPr>
                <w:rFonts w:ascii="Times New Roman" w:eastAsia="DengXian" w:hAnsi="Times New Roman" w:cs="Times New Roman"/>
                <w:sz w:val="20"/>
                <w:szCs w:val="20"/>
              </w:rPr>
              <w:t xml:space="preserve"> from resource set for monitoring,</w:t>
            </w:r>
            <w:r w:rsidRPr="00F20141">
              <w:rPr>
                <w:rFonts w:ascii="Times New Roman" w:hAnsi="Times New Roman" w:cs="Times New Roman"/>
                <w:sz w:val="20"/>
                <w:szCs w:val="20"/>
              </w:rPr>
              <w:t xml:space="preserve"> e.g., L1-RSRP and/or </w:t>
            </w:r>
            <w:r w:rsidRPr="00F20141">
              <w:rPr>
                <w:rFonts w:ascii="Times New Roman" w:eastAsia="DengXian" w:hAnsi="Times New Roman" w:cs="Times New Roman"/>
                <w:sz w:val="20"/>
                <w:szCs w:val="20"/>
              </w:rPr>
              <w:t>RS</w:t>
            </w:r>
            <w:r w:rsidRPr="00F20141">
              <w:rPr>
                <w:rFonts w:ascii="Times New Roman" w:hAnsi="Times New Roman" w:cs="Times New Roman"/>
                <w:sz w:val="20"/>
                <w:szCs w:val="20"/>
              </w:rPr>
              <w:t xml:space="preserve"> index is supported as the content of the report</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on other contents</w:t>
            </w:r>
            <w:r w:rsidRPr="00F20141">
              <w:rPr>
                <w:rFonts w:ascii="Times New Roman" w:eastAsia="DengXian" w:hAnsi="Times New Roman" w:cs="Times New Roman"/>
                <w:sz w:val="20"/>
                <w:szCs w:val="20"/>
              </w:rPr>
              <w:t xml:space="preserve">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The report is at least configured/triggered by NW</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Note: this may or may not have additional spec impact</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2 (UE-assisted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calculates performance metric(s)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eastAsia="DengXian" w:hAnsi="Times New Roman" w:cs="Times New Roman"/>
                <w:sz w:val="20"/>
                <w:szCs w:val="20"/>
              </w:rPr>
              <w:t xml:space="preserve">FFS how to report and what to report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whether to trigger the report based on event(s) for Option 1 and/or Option 2</w:t>
            </w:r>
          </w:p>
          <w:p w:rsidR="00F20141" w:rsidRPr="00F20141" w:rsidRDefault="00F20141" w:rsidP="00F20141">
            <w:pPr>
              <w:pStyle w:val="B1"/>
              <w:numPr>
                <w:ilvl w:val="0"/>
                <w:numId w:val="688"/>
              </w:numPr>
              <w:rPr>
                <w:rFonts w:eastAsia="Yu Mincho"/>
                <w:bCs/>
              </w:rPr>
            </w:pPr>
            <w:r w:rsidRPr="00F20141">
              <w:rPr>
                <w:color w:val="000000"/>
              </w:rPr>
              <w:t>FFS Type 2 performance monitoring</w:t>
            </w:r>
          </w:p>
          <w:p w:rsidR="00F20141" w:rsidRPr="00F20141" w:rsidRDefault="00F20141" w:rsidP="005F50BF">
            <w:pPr>
              <w:pStyle w:val="ListParagraph"/>
              <w:tabs>
                <w:tab w:val="left" w:pos="360"/>
                <w:tab w:val="left" w:pos="1080"/>
              </w:tabs>
              <w:ind w:leftChars="0" w:left="0" w:firstLine="0"/>
              <w:rPr>
                <w:rFonts w:ascii="Times New Roman" w:eastAsia="DengXian" w:hAnsi="Times New Roman"/>
                <w:szCs w:val="20"/>
                <w:highlight w:val="green"/>
                <w:lang w:eastAsia="zh-CN"/>
              </w:rPr>
            </w:pPr>
          </w:p>
          <w:p w:rsidR="005F50BF" w:rsidRPr="00F20141" w:rsidRDefault="005F50BF" w:rsidP="005F50BF">
            <w:pPr>
              <w:pStyle w:val="ListParagraph"/>
              <w:tabs>
                <w:tab w:val="left" w:pos="360"/>
                <w:tab w:val="left" w:pos="1080"/>
              </w:tabs>
              <w:ind w:leftChars="0" w:left="0" w:firstLine="0"/>
              <w:rPr>
                <w:rFonts w:ascii="Times New Roman" w:eastAsia="DengXian" w:hAnsi="Times New Roman"/>
                <w:szCs w:val="20"/>
                <w:highlight w:val="green"/>
                <w:lang w:eastAsia="zh-CN"/>
              </w:rPr>
            </w:pPr>
            <w:r w:rsidRPr="00F20141">
              <w:rPr>
                <w:rFonts w:ascii="Times New Roman" w:eastAsia="DengXian" w:hAnsi="Times New Roman"/>
                <w:szCs w:val="20"/>
                <w:highlight w:val="green"/>
                <w:lang w:eastAsia="zh-CN"/>
              </w:rPr>
              <w:t>Agreement</w:t>
            </w:r>
          </w:p>
          <w:p w:rsidR="005F50BF" w:rsidRPr="00F20141" w:rsidRDefault="005F50BF" w:rsidP="005F50BF">
            <w:pPr>
              <w:rPr>
                <w:sz w:val="20"/>
                <w:szCs w:val="20"/>
              </w:rPr>
            </w:pPr>
            <w:r w:rsidRPr="00F20141">
              <w:rPr>
                <w:bCs/>
                <w:sz w:val="20"/>
                <w:szCs w:val="20"/>
              </w:rPr>
              <w:t xml:space="preserve">For BM-Case1 and BM-Case2 with a UE-sided AI/ML model, for Option 2 </w:t>
            </w:r>
            <w:r w:rsidRPr="00F20141">
              <w:rPr>
                <w:sz w:val="20"/>
                <w:szCs w:val="20"/>
              </w:rPr>
              <w:t xml:space="preserve">(UE-assisted performance monitoring), further study </w:t>
            </w:r>
            <w:r w:rsidRPr="00F20141">
              <w:rPr>
                <w:rFonts w:eastAsia="DengXian"/>
                <w:sz w:val="20"/>
                <w:szCs w:val="20"/>
              </w:rPr>
              <w:t xml:space="preserve">at least </w:t>
            </w:r>
            <w:r w:rsidRPr="00F20141">
              <w:rPr>
                <w:sz w:val="20"/>
                <w:szCs w:val="20"/>
              </w:rPr>
              <w:t xml:space="preserve">the following </w:t>
            </w:r>
            <w:r w:rsidRPr="00F20141">
              <w:rPr>
                <w:rFonts w:eastAsia="DengXian"/>
                <w:sz w:val="20"/>
                <w:szCs w:val="20"/>
              </w:rPr>
              <w:t>alternative</w:t>
            </w:r>
            <w:r w:rsidRPr="00F20141">
              <w:rPr>
                <w:sz w:val="20"/>
                <w:szCs w:val="20"/>
              </w:rPr>
              <w:t>s, including:</w:t>
            </w:r>
          </w:p>
          <w:p w:rsidR="005F50BF" w:rsidRPr="00F20141" w:rsidRDefault="005F50BF" w:rsidP="005F50BF">
            <w:pPr>
              <w:pStyle w:val="ListParagraph"/>
              <w:numPr>
                <w:ilvl w:val="0"/>
                <w:numId w:val="696"/>
              </w:numPr>
              <w:spacing w:after="180"/>
              <w:ind w:leftChars="0"/>
              <w:rPr>
                <w:rFonts w:ascii="Times New Roman" w:hAnsi="Times New Roman"/>
                <w:szCs w:val="20"/>
              </w:rPr>
            </w:pPr>
            <w:r w:rsidRPr="00F20141">
              <w:rPr>
                <w:rFonts w:ascii="Times New Roman" w:eastAsia="DengXian" w:hAnsi="Times New Roman"/>
                <w:szCs w:val="20"/>
                <w:lang w:eastAsia="zh-CN"/>
              </w:rPr>
              <w:t>Alt</w:t>
            </w:r>
            <w:r w:rsidRPr="00F20141">
              <w:rPr>
                <w:rFonts w:ascii="Times New Roman" w:hAnsi="Times New Roman"/>
                <w:szCs w:val="20"/>
              </w:rPr>
              <w:t xml:space="preserve"> 1: Top 1 or Top K beam prediction accuracy (with or without margin) by comparing the prediction results and the Top 1 or Top K beam based on the measurements from a resource set/resources for monitoring</w:t>
            </w:r>
          </w:p>
          <w:p w:rsidR="005F50BF" w:rsidRPr="00F20141" w:rsidRDefault="005F50BF" w:rsidP="005F50BF">
            <w:pPr>
              <w:pStyle w:val="ListParagraph"/>
              <w:numPr>
                <w:ilvl w:val="0"/>
                <w:numId w:val="696"/>
              </w:numPr>
              <w:spacing w:after="180"/>
              <w:ind w:leftChars="0"/>
              <w:rPr>
                <w:rFonts w:ascii="Times New Roman" w:hAnsi="Times New Roman"/>
                <w:szCs w:val="20"/>
              </w:rPr>
            </w:pPr>
            <w:r w:rsidRPr="00F20141">
              <w:rPr>
                <w:rFonts w:ascii="Times New Roman" w:eastAsia="DengXian" w:hAnsi="Times New Roman"/>
                <w:szCs w:val="20"/>
                <w:lang w:eastAsia="zh-CN"/>
              </w:rPr>
              <w:t xml:space="preserve">Alt </w:t>
            </w:r>
            <w:r w:rsidRPr="00F20141">
              <w:rPr>
                <w:rFonts w:ascii="Times New Roman" w:hAnsi="Times New Roman"/>
                <w:szCs w:val="20"/>
              </w:rPr>
              <w:t xml:space="preserve">2: The L1-RSRP difference information based on </w:t>
            </w:r>
            <w:r w:rsidRPr="00F20141">
              <w:rPr>
                <w:rFonts w:ascii="Times New Roman" w:eastAsia="DengXian" w:hAnsi="Times New Roman"/>
                <w:szCs w:val="20"/>
                <w:lang w:eastAsia="zh-CN"/>
              </w:rPr>
              <w:t>actual measurement of the L1-RSRP</w:t>
            </w:r>
            <w:r w:rsidRPr="00F20141">
              <w:rPr>
                <w:rFonts w:ascii="Times New Roman" w:hAnsi="Times New Roman"/>
                <w:szCs w:val="20"/>
              </w:rPr>
              <w:t xml:space="preserve"> of </w:t>
            </w:r>
            <w:r w:rsidRPr="00F20141">
              <w:rPr>
                <w:rFonts w:ascii="Times New Roman" w:eastAsia="DengXian" w:hAnsi="Times New Roman"/>
                <w:szCs w:val="20"/>
                <w:lang w:eastAsia="zh-CN"/>
              </w:rPr>
              <w:t xml:space="preserve">one or more of </w:t>
            </w:r>
            <w:r w:rsidRPr="00F20141">
              <w:rPr>
                <w:rFonts w:ascii="Times New Roman" w:hAnsi="Times New Roman"/>
                <w:szCs w:val="20"/>
              </w:rPr>
              <w:t xml:space="preserve">Top K predicted beam, and </w:t>
            </w:r>
            <w:r w:rsidRPr="00F20141">
              <w:rPr>
                <w:rFonts w:ascii="Times New Roman" w:eastAsia="DengXian" w:hAnsi="Times New Roman"/>
                <w:szCs w:val="20"/>
                <w:lang w:eastAsia="zh-CN"/>
              </w:rPr>
              <w:t xml:space="preserve">L1-RSRP </w:t>
            </w:r>
            <w:r w:rsidRPr="00F20141">
              <w:rPr>
                <w:rFonts w:ascii="Times New Roman" w:hAnsi="Times New Roman"/>
                <w:szCs w:val="20"/>
              </w:rPr>
              <w:t>measurements from a resource set/resources for monitoring</w:t>
            </w:r>
          </w:p>
          <w:p w:rsidR="005F50BF" w:rsidRPr="00F20141" w:rsidRDefault="005F50BF" w:rsidP="005F50BF">
            <w:pPr>
              <w:pStyle w:val="ListParagraph"/>
              <w:numPr>
                <w:ilvl w:val="0"/>
                <w:numId w:val="696"/>
              </w:numPr>
              <w:spacing w:after="180"/>
              <w:ind w:leftChars="0"/>
              <w:rPr>
                <w:rFonts w:ascii="Times New Roman" w:hAnsi="Times New Roman"/>
                <w:szCs w:val="20"/>
              </w:rPr>
            </w:pPr>
            <w:r w:rsidRPr="00F20141">
              <w:rPr>
                <w:rFonts w:ascii="Times New Roman" w:eastAsia="DengXian" w:hAnsi="Times New Roman"/>
                <w:szCs w:val="20"/>
                <w:lang w:eastAsia="zh-CN"/>
              </w:rPr>
              <w:t>Alt</w:t>
            </w:r>
            <w:r w:rsidRPr="00F20141">
              <w:rPr>
                <w:rFonts w:ascii="Times New Roman" w:hAnsi="Times New Roman"/>
                <w:szCs w:val="20"/>
              </w:rPr>
              <w:t xml:space="preserve"> 3: The RSRP difference information between the predicted RSRP</w:t>
            </w:r>
            <w:r w:rsidRPr="00F20141">
              <w:rPr>
                <w:rFonts w:ascii="Times New Roman" w:eastAsia="DengXian" w:hAnsi="Times New Roman"/>
                <w:szCs w:val="20"/>
                <w:lang w:eastAsia="zh-CN"/>
              </w:rPr>
              <w:t xml:space="preserve"> </w:t>
            </w:r>
            <w:r w:rsidRPr="00F20141">
              <w:rPr>
                <w:rFonts w:ascii="Times New Roman" w:hAnsi="Times New Roman"/>
                <w:szCs w:val="20"/>
              </w:rPr>
              <w:t>and measured L1-RSRP of corresponding beam(s) of a resource set/resources for monitoring</w:t>
            </w:r>
          </w:p>
          <w:p w:rsidR="005F50BF" w:rsidRPr="00F20141" w:rsidRDefault="005F50BF" w:rsidP="005F50BF">
            <w:pPr>
              <w:pStyle w:val="ListParagraph"/>
              <w:numPr>
                <w:ilvl w:val="1"/>
                <w:numId w:val="696"/>
              </w:numPr>
              <w:spacing w:after="180"/>
              <w:ind w:leftChars="0"/>
              <w:rPr>
                <w:rFonts w:ascii="Times New Roman" w:hAnsi="Times New Roman"/>
                <w:szCs w:val="20"/>
              </w:rPr>
            </w:pPr>
            <w:r w:rsidRPr="00F20141">
              <w:rPr>
                <w:rFonts w:ascii="Times New Roman" w:hAnsi="Times New Roman"/>
                <w:szCs w:val="20"/>
              </w:rPr>
              <w:t xml:space="preserve">Note: resources for Set B for monitoring </w:t>
            </w:r>
            <w:r w:rsidRPr="00F20141">
              <w:rPr>
                <w:rFonts w:ascii="Times New Roman" w:eastAsia="DengXian" w:hAnsi="Times New Roman"/>
                <w:szCs w:val="20"/>
                <w:lang w:eastAsia="zh-CN"/>
              </w:rPr>
              <w:t xml:space="preserve">are </w:t>
            </w:r>
            <w:r w:rsidRPr="00F20141">
              <w:rPr>
                <w:rFonts w:ascii="Times New Roman" w:hAnsi="Times New Roman"/>
                <w:szCs w:val="20"/>
              </w:rPr>
              <w:t xml:space="preserve">not precluded and can be study. </w:t>
            </w:r>
          </w:p>
          <w:p w:rsidR="005F50BF" w:rsidRPr="00F20141" w:rsidRDefault="005F50BF" w:rsidP="005F50BF">
            <w:pPr>
              <w:pStyle w:val="ListParagraph"/>
              <w:numPr>
                <w:ilvl w:val="1"/>
                <w:numId w:val="696"/>
              </w:numPr>
              <w:spacing w:after="180"/>
              <w:ind w:leftChars="0"/>
              <w:rPr>
                <w:rFonts w:ascii="Times New Roman" w:hAnsi="Times New Roman"/>
                <w:szCs w:val="20"/>
              </w:rPr>
            </w:pPr>
            <w:r w:rsidRPr="00F20141">
              <w:rPr>
                <w:rFonts w:ascii="Times New Roman" w:hAnsi="Times New Roman"/>
                <w:szCs w:val="20"/>
              </w:rPr>
              <w:t xml:space="preserve">Note: this is only applicable when the model can predict RSRP </w:t>
            </w:r>
          </w:p>
          <w:p w:rsidR="005F50BF" w:rsidRPr="00F20141" w:rsidRDefault="005F50BF" w:rsidP="005F50BF">
            <w:pPr>
              <w:pStyle w:val="ListParagraph"/>
              <w:numPr>
                <w:ilvl w:val="0"/>
                <w:numId w:val="696"/>
              </w:numPr>
              <w:spacing w:after="180"/>
              <w:ind w:leftChars="0"/>
              <w:rPr>
                <w:rFonts w:ascii="Times New Roman" w:hAnsi="Times New Roman"/>
                <w:szCs w:val="20"/>
                <w:lang w:eastAsia="zh-CN"/>
              </w:rPr>
            </w:pPr>
            <w:r w:rsidRPr="00F20141">
              <w:rPr>
                <w:rFonts w:ascii="Times New Roman" w:eastAsia="DengXian" w:hAnsi="Times New Roman"/>
                <w:szCs w:val="20"/>
                <w:lang w:eastAsia="zh-CN"/>
              </w:rPr>
              <w:lastRenderedPageBreak/>
              <w:t>Alt</w:t>
            </w:r>
            <w:r w:rsidRPr="00F20141">
              <w:rPr>
                <w:rFonts w:ascii="Times New Roman" w:hAnsi="Times New Roman"/>
                <w:szCs w:val="20"/>
              </w:rPr>
              <w:t xml:space="preserve"> 4: The probability information of the predicted beam(s) to be the Top 1 or Top K beam</w:t>
            </w:r>
          </w:p>
          <w:p w:rsidR="005F50BF" w:rsidRPr="00F20141" w:rsidRDefault="005F50BF" w:rsidP="005F50BF">
            <w:pPr>
              <w:pStyle w:val="ListParagraph"/>
              <w:numPr>
                <w:ilvl w:val="1"/>
                <w:numId w:val="696"/>
              </w:numPr>
              <w:spacing w:after="180"/>
              <w:ind w:leftChars="0"/>
              <w:rPr>
                <w:rFonts w:ascii="Times New Roman" w:hAnsi="Times New Roman"/>
                <w:szCs w:val="20"/>
              </w:rPr>
            </w:pPr>
            <w:r w:rsidRPr="00F20141">
              <w:rPr>
                <w:rFonts w:ascii="Times New Roman" w:hAnsi="Times New Roman"/>
                <w:szCs w:val="20"/>
              </w:rPr>
              <w:t xml:space="preserve">Note: this is only applicable when the model can generate probability information </w:t>
            </w:r>
          </w:p>
          <w:p w:rsidR="005F50BF" w:rsidRPr="00F20141" w:rsidRDefault="005F50BF" w:rsidP="005F50BF">
            <w:pPr>
              <w:pStyle w:val="ListParagraph"/>
              <w:numPr>
                <w:ilvl w:val="0"/>
                <w:numId w:val="696"/>
              </w:numPr>
              <w:spacing w:after="180"/>
              <w:ind w:leftChars="0"/>
              <w:rPr>
                <w:rFonts w:ascii="Times New Roman" w:eastAsia="Times New Roman" w:hAnsi="Times New Roman"/>
                <w:szCs w:val="20"/>
                <w:lang w:eastAsia="zh-CN"/>
              </w:rPr>
            </w:pPr>
            <w:r w:rsidRPr="00F20141">
              <w:rPr>
                <w:rFonts w:ascii="Times New Roman" w:eastAsia="Times New Roman" w:hAnsi="Times New Roman"/>
                <w:szCs w:val="20"/>
                <w:lang w:eastAsia="zh-CN"/>
              </w:rPr>
              <w:t xml:space="preserve">FFS: for </w:t>
            </w:r>
            <w:r w:rsidRPr="00F20141">
              <w:rPr>
                <w:rFonts w:ascii="Times New Roman" w:eastAsia="DengXian" w:hAnsi="Times New Roman"/>
                <w:szCs w:val="20"/>
                <w:lang w:eastAsia="zh-CN"/>
              </w:rPr>
              <w:t>Alt</w:t>
            </w:r>
            <w:r w:rsidRPr="00F20141">
              <w:rPr>
                <w:rFonts w:ascii="Times New Roman" w:eastAsia="Times New Roman" w:hAnsi="Times New Roman"/>
                <w:szCs w:val="20"/>
                <w:lang w:eastAsia="zh-CN"/>
              </w:rPr>
              <w:t xml:space="preserve"> 1/2/3, </w:t>
            </w:r>
            <w:r w:rsidRPr="00F20141">
              <w:rPr>
                <w:rFonts w:ascii="Times New Roman" w:hAnsi="Times New Roman"/>
                <w:szCs w:val="20"/>
              </w:rPr>
              <w:t>on other details including how to configure the resource set/resources for monitoring, including</w:t>
            </w:r>
          </w:p>
          <w:p w:rsidR="005F50BF" w:rsidRPr="00F20141" w:rsidRDefault="005F50BF" w:rsidP="005F50BF">
            <w:pPr>
              <w:pStyle w:val="ListParagraph"/>
              <w:numPr>
                <w:ilvl w:val="1"/>
                <w:numId w:val="696"/>
              </w:numPr>
              <w:spacing w:after="180"/>
              <w:ind w:leftChars="0"/>
              <w:rPr>
                <w:rFonts w:ascii="Times New Roman" w:hAnsi="Times New Roman"/>
                <w:szCs w:val="20"/>
              </w:rPr>
            </w:pPr>
            <w:r w:rsidRPr="00F20141">
              <w:rPr>
                <w:rFonts w:ascii="Times New Roman" w:hAnsi="Times New Roman"/>
                <w:szCs w:val="20"/>
              </w:rPr>
              <w:t xml:space="preserve">E.g. whether/how to use full set of Set A for measurement. </w:t>
            </w:r>
            <w:r w:rsidRPr="00F20141">
              <w:rPr>
                <w:rFonts w:ascii="Times New Roman" w:eastAsia="DengXian" w:hAnsi="Times New Roman"/>
                <w:szCs w:val="20"/>
                <w:lang w:eastAsia="zh-CN"/>
              </w:rPr>
              <w:t>I</w:t>
            </w:r>
            <w:r w:rsidRPr="00F20141">
              <w:rPr>
                <w:rFonts w:ascii="Times New Roman" w:hAnsi="Times New Roman"/>
                <w:szCs w:val="20"/>
              </w:rPr>
              <w:t xml:space="preserve">f not, whether/how to obtain the measurement of the predicted Top 1 or Top K beam for calculating the prediction accuracy or the RSRP difference.    </w:t>
            </w:r>
          </w:p>
          <w:p w:rsidR="005F50BF" w:rsidRPr="00F20141" w:rsidRDefault="005F50BF" w:rsidP="005F50BF">
            <w:pPr>
              <w:pStyle w:val="ListParagraph"/>
              <w:numPr>
                <w:ilvl w:val="0"/>
                <w:numId w:val="696"/>
              </w:numPr>
              <w:spacing w:after="180"/>
              <w:ind w:leftChars="0"/>
              <w:rPr>
                <w:rFonts w:ascii="Times New Roman" w:hAnsi="Times New Roman"/>
                <w:szCs w:val="20"/>
                <w:lang w:eastAsia="zh-CN"/>
              </w:rPr>
            </w:pPr>
            <w:r w:rsidRPr="00F20141">
              <w:rPr>
                <w:rFonts w:ascii="Times New Roman" w:hAnsi="Times New Roman"/>
                <w:szCs w:val="20"/>
              </w:rPr>
              <w:t xml:space="preserve">For all </w:t>
            </w:r>
            <w:r w:rsidRPr="00F20141">
              <w:rPr>
                <w:rFonts w:ascii="Times New Roman" w:eastAsia="DengXian" w:hAnsi="Times New Roman"/>
                <w:szCs w:val="20"/>
                <w:lang w:eastAsia="zh-CN"/>
              </w:rPr>
              <w:t>alternative</w:t>
            </w:r>
            <w:r w:rsidRPr="00F20141">
              <w:rPr>
                <w:rFonts w:ascii="Times New Roman" w:hAnsi="Times New Roman"/>
                <w:szCs w:val="20"/>
              </w:rPr>
              <w:t xml:space="preserve">s, study whether the performance </w:t>
            </w:r>
            <w:r w:rsidRPr="00F20141">
              <w:rPr>
                <w:rFonts w:ascii="Times New Roman" w:eastAsia="DengXian" w:hAnsi="Times New Roman"/>
                <w:szCs w:val="20"/>
                <w:lang w:eastAsia="zh-CN"/>
              </w:rPr>
              <w:t>information</w:t>
            </w:r>
            <w:r w:rsidRPr="00F20141">
              <w:rPr>
                <w:rFonts w:ascii="Times New Roman" w:hAnsi="Times New Roman"/>
                <w:szCs w:val="20"/>
              </w:rPr>
              <w:t xml:space="preserve"> is calculated per sample (one-shot), or per set of samples (window) </w:t>
            </w:r>
          </w:p>
          <w:p w:rsidR="005F50BF" w:rsidRPr="00F20141" w:rsidRDefault="005F50BF" w:rsidP="005F50BF">
            <w:pPr>
              <w:pStyle w:val="0Maintext"/>
              <w:spacing w:after="120" w:afterAutospacing="0" w:line="240" w:lineRule="auto"/>
              <w:ind w:firstLine="0"/>
              <w:rPr>
                <w:rFonts w:cs="Times New Roman"/>
                <w:lang w:val="en-US" w:eastAsia="zh-CN"/>
              </w:rPr>
            </w:pPr>
          </w:p>
        </w:tc>
      </w:tr>
    </w:tbl>
    <w:p w:rsidR="005F50BF" w:rsidRDefault="005F50BF" w:rsidP="005F50BF">
      <w:pPr>
        <w:pStyle w:val="0Maintext"/>
        <w:spacing w:after="120" w:afterAutospacing="0" w:line="240" w:lineRule="auto"/>
        <w:ind w:firstLine="0"/>
        <w:rPr>
          <w:lang w:val="en-US" w:eastAsia="zh-CN"/>
        </w:rPr>
      </w:pPr>
    </w:p>
    <w:p w:rsidR="00F20141" w:rsidRDefault="00F20141" w:rsidP="005F50BF">
      <w:pPr>
        <w:pStyle w:val="0Maintext"/>
        <w:spacing w:after="120" w:afterAutospacing="0" w:line="240" w:lineRule="auto"/>
        <w:ind w:firstLine="0"/>
        <w:rPr>
          <w:lang w:val="en-US" w:eastAsia="zh-CN"/>
        </w:rPr>
      </w:pPr>
      <w:r>
        <w:rPr>
          <w:lang w:val="en-US" w:eastAsia="zh-CN"/>
        </w:rPr>
        <w:t>For performance monitoring, NW does not need to know the L1-RSRP for multiple beams. But the NW needs to see the performance gap between the predicted beam and current beam or ground-truth best beam. Then compared to option 1, option 2 requires less overhead. Based on different overhead, the NW can configure whether the UE should compare the performance gap based on current beam or ground-truth best beam. Thus, the NW can configure a set of RSs as the baseline, and UE can report the L1-RSRP offset between the predicted beam and the best L1-RSRP from the baseline RSs. Then based on the L1-RSRP offset, the NW can determine whether the beam prediction can still provide good performance or not. Thus, Alt2 for option 2 is preferred.</w:t>
      </w:r>
    </w:p>
    <w:p w:rsidR="005133CD" w:rsidRPr="005133CD" w:rsidRDefault="00F20141"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5133CD">
        <w:rPr>
          <w:b/>
          <w:bCs/>
          <w:i/>
          <w:iCs/>
          <w:lang w:val="en-US" w:eastAsia="zh-CN"/>
        </w:rPr>
        <w:t>19</w:t>
      </w:r>
      <w:r w:rsidR="005133CD" w:rsidRPr="005133CD">
        <w:rPr>
          <w:b/>
          <w:bCs/>
          <w:i/>
          <w:iCs/>
          <w:lang w:val="en-US" w:eastAsia="zh-CN"/>
        </w:rPr>
        <w:t>: For NW-side performance monitoring, with regard to the overhead, support Alt2 of option 2 (UE assisted performance monitoring).</w:t>
      </w:r>
    </w:p>
    <w:p w:rsidR="005133CD" w:rsidRDefault="005133CD" w:rsidP="005F50BF">
      <w:pPr>
        <w:pStyle w:val="0Maintext"/>
        <w:spacing w:after="120" w:afterAutospacing="0" w:line="240" w:lineRule="auto"/>
        <w:ind w:firstLine="0"/>
        <w:rPr>
          <w:lang w:val="en-US" w:eastAsia="zh-CN"/>
        </w:rPr>
      </w:pPr>
      <w:r>
        <w:rPr>
          <w:lang w:val="en-US" w:eastAsia="zh-CN"/>
        </w:rPr>
        <w:t>In addition, some mechanisms for the UE to recommend turning off the UE-side beam prediction should be defined. This can be based on the performance monitoring by UE or UE’s internal state, e.g., overheating. Then, the UE can send some information to the NW to suggest turning off the UE-side beam prediction.</w:t>
      </w:r>
    </w:p>
    <w:p w:rsidR="005133CD" w:rsidRPr="005133CD" w:rsidRDefault="005133CD"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Pr>
          <w:b/>
          <w:bCs/>
          <w:i/>
          <w:iCs/>
          <w:lang w:val="en-US" w:eastAsia="zh-CN"/>
        </w:rPr>
        <w:t>20</w:t>
      </w:r>
      <w:r w:rsidRPr="005133CD">
        <w:rPr>
          <w:b/>
          <w:bCs/>
          <w:i/>
          <w:iCs/>
          <w:lang w:val="en-US" w:eastAsia="zh-CN"/>
        </w:rPr>
        <w:t>: Support the UE to request to turn off the UE-side beam prediction</w:t>
      </w:r>
    </w:p>
    <w:p w:rsidR="005133CD" w:rsidRPr="005133CD" w:rsidRDefault="005133CD" w:rsidP="005133CD">
      <w:pPr>
        <w:pStyle w:val="0Maintext"/>
        <w:numPr>
          <w:ilvl w:val="0"/>
          <w:numId w:val="706"/>
        </w:numPr>
        <w:spacing w:after="120" w:afterAutospacing="0" w:line="240" w:lineRule="auto"/>
        <w:rPr>
          <w:b/>
          <w:bCs/>
          <w:i/>
          <w:iCs/>
          <w:lang w:val="en-US" w:eastAsia="zh-CN"/>
        </w:rPr>
      </w:pPr>
      <w:r w:rsidRPr="005133CD">
        <w:rPr>
          <w:b/>
          <w:bCs/>
          <w:i/>
          <w:iCs/>
          <w:lang w:val="en-US" w:eastAsia="zh-CN"/>
        </w:rPr>
        <w:t>FFS the event (e.g., UE-side performance monitoring, overheating, etc) for the UE to trigger such request</w:t>
      </w:r>
    </w:p>
    <w:p w:rsidR="005F50BF" w:rsidRDefault="00F20141" w:rsidP="005F50BF">
      <w:pPr>
        <w:pStyle w:val="0Maintext"/>
        <w:spacing w:after="120" w:afterAutospacing="0" w:line="240" w:lineRule="auto"/>
        <w:ind w:firstLine="0"/>
        <w:rPr>
          <w:lang w:val="en-US" w:eastAsia="zh-CN"/>
        </w:rPr>
      </w:pPr>
      <w:r>
        <w:rPr>
          <w:lang w:val="en-US" w:eastAsia="zh-CN"/>
        </w:rPr>
        <w:t xml:space="preserve"> </w:t>
      </w:r>
    </w:p>
    <w:p w:rsidR="005F50BF" w:rsidRDefault="005133CD" w:rsidP="005133CD">
      <w:pPr>
        <w:pStyle w:val="Heading1"/>
      </w:pPr>
      <w:r>
        <w:t>Consistency between training and inference</w:t>
      </w:r>
    </w:p>
    <w:p w:rsidR="005133CD" w:rsidRDefault="005133CD" w:rsidP="005F50BF">
      <w:pPr>
        <w:pStyle w:val="0Maintext"/>
        <w:spacing w:after="120" w:afterAutospacing="0" w:line="240" w:lineRule="auto"/>
        <w:ind w:firstLine="0"/>
        <w:rPr>
          <w:lang w:val="en-US" w:eastAsia="zh-CN"/>
        </w:rPr>
      </w:pPr>
      <w:r>
        <w:rPr>
          <w:lang w:val="en-US" w:eastAsia="zh-CN"/>
        </w:rPr>
        <w:t>In RAN1 #118, the associated ID has been agreed regarding the consistency between training and inference.</w:t>
      </w:r>
    </w:p>
    <w:tbl>
      <w:tblPr>
        <w:tblStyle w:val="TableGrid"/>
        <w:tblW w:w="0" w:type="auto"/>
        <w:tblLook w:val="04A0" w:firstRow="1" w:lastRow="0" w:firstColumn="1" w:lastColumn="0" w:noHBand="0" w:noVBand="1"/>
      </w:tblPr>
      <w:tblGrid>
        <w:gridCol w:w="9010"/>
      </w:tblGrid>
      <w:tr w:rsidR="005133CD" w:rsidTr="005133CD">
        <w:tc>
          <w:tcPr>
            <w:tcW w:w="9010" w:type="dxa"/>
          </w:tcPr>
          <w:p w:rsidR="005133CD" w:rsidRPr="00FF2801" w:rsidRDefault="005133CD" w:rsidP="005133CD">
            <w:pPr>
              <w:rPr>
                <w:rFonts w:eastAsia="DengXian"/>
                <w:sz w:val="20"/>
                <w:szCs w:val="20"/>
                <w:highlight w:val="green"/>
              </w:rPr>
            </w:pPr>
            <w:r w:rsidRPr="00FF2801">
              <w:rPr>
                <w:rFonts w:eastAsia="DengXian"/>
                <w:sz w:val="20"/>
                <w:szCs w:val="20"/>
                <w:highlight w:val="green"/>
              </w:rPr>
              <w:t>Agreement</w:t>
            </w:r>
          </w:p>
          <w:p w:rsidR="005133CD" w:rsidRPr="00FF2801" w:rsidRDefault="005133CD" w:rsidP="005133CD">
            <w:pPr>
              <w:rPr>
                <w:rFonts w:eastAsia="DengXian"/>
                <w:sz w:val="20"/>
                <w:szCs w:val="20"/>
              </w:rPr>
            </w:pPr>
            <w:r w:rsidRPr="00FF2801">
              <w:rPr>
                <w:sz w:val="20"/>
                <w:szCs w:val="20"/>
              </w:rPr>
              <w:t>For UE sided model in beam management, support</w:t>
            </w:r>
            <w:r w:rsidRPr="00FF2801">
              <w:rPr>
                <w:color w:val="FF0000"/>
                <w:sz w:val="20"/>
                <w:szCs w:val="20"/>
              </w:rPr>
              <w:t xml:space="preserve"> </w:t>
            </w:r>
            <w:r w:rsidRPr="00FF2801">
              <w:rPr>
                <w:sz w:val="20"/>
                <w:szCs w:val="20"/>
              </w:rPr>
              <w:t>associated ID</w:t>
            </w:r>
          </w:p>
          <w:p w:rsidR="005133CD" w:rsidRPr="00FF2801" w:rsidRDefault="005133CD" w:rsidP="005133CD">
            <w:pPr>
              <w:numPr>
                <w:ilvl w:val="0"/>
                <w:numId w:val="694"/>
              </w:numPr>
              <w:tabs>
                <w:tab w:val="left" w:pos="360"/>
                <w:tab w:val="left" w:pos="709"/>
              </w:tabs>
              <w:rPr>
                <w:sz w:val="20"/>
                <w:szCs w:val="20"/>
                <w:highlight w:val="darkYellow"/>
              </w:rPr>
            </w:pPr>
            <w:r w:rsidRPr="00FF2801">
              <w:rPr>
                <w:rFonts w:eastAsia="DengXian"/>
                <w:sz w:val="20"/>
                <w:szCs w:val="20"/>
                <w:highlight w:val="darkYellow"/>
              </w:rPr>
              <w:t>[Working Assumption]</w:t>
            </w:r>
          </w:p>
          <w:p w:rsidR="005133CD" w:rsidRPr="00FF2801" w:rsidRDefault="005133CD" w:rsidP="005133CD">
            <w:pPr>
              <w:numPr>
                <w:ilvl w:val="1"/>
                <w:numId w:val="694"/>
              </w:numPr>
              <w:tabs>
                <w:tab w:val="left" w:pos="360"/>
                <w:tab w:val="left" w:pos="709"/>
              </w:tabs>
              <w:rPr>
                <w:sz w:val="20"/>
                <w:szCs w:val="20"/>
                <w:highlight w:val="darkYellow"/>
              </w:rPr>
            </w:pPr>
            <w:r w:rsidRPr="00FF2801">
              <w:rPr>
                <w:sz w:val="20"/>
                <w:szCs w:val="20"/>
                <w:highlight w:val="darkYellow"/>
              </w:rPr>
              <w:t>The associated ID</w:t>
            </w:r>
            <w:r w:rsidRPr="00FF2801">
              <w:rPr>
                <w:rFonts w:eastAsia="DengXian"/>
                <w:sz w:val="20"/>
                <w:szCs w:val="20"/>
                <w:highlight w:val="darkYellow"/>
              </w:rPr>
              <w:t xml:space="preserve"> </w:t>
            </w:r>
            <w:r w:rsidRPr="00FF2801">
              <w:rPr>
                <w:sz w:val="20"/>
                <w:szCs w:val="20"/>
                <w:highlight w:val="darkYellow"/>
              </w:rPr>
              <w:t>at least can be configured</w:t>
            </w:r>
            <w:r w:rsidRPr="00FF2801">
              <w:rPr>
                <w:rFonts w:eastAsia="DengXian"/>
                <w:sz w:val="20"/>
                <w:szCs w:val="20"/>
                <w:highlight w:val="darkYellow"/>
              </w:rPr>
              <w:t xml:space="preserve"> </w:t>
            </w:r>
            <w:r w:rsidRPr="00FF2801">
              <w:rPr>
                <w:sz w:val="20"/>
                <w:szCs w:val="20"/>
                <w:highlight w:val="darkYellow"/>
              </w:rPr>
              <w:t xml:space="preserve">within CSI framework </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details</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whether/how to configure/indicate the associated ID via other signal(s) and/or in other procedure(s)/framework(s)</w:t>
            </w:r>
          </w:p>
          <w:p w:rsidR="005133CD" w:rsidRPr="00FF2801" w:rsidRDefault="005133CD" w:rsidP="005133CD">
            <w:pPr>
              <w:numPr>
                <w:ilvl w:val="0"/>
                <w:numId w:val="694"/>
              </w:numPr>
              <w:tabs>
                <w:tab w:val="left" w:pos="360"/>
              </w:tabs>
              <w:ind w:left="709"/>
              <w:rPr>
                <w:sz w:val="20"/>
                <w:szCs w:val="20"/>
              </w:rPr>
            </w:pPr>
            <w:r w:rsidRPr="00FF2801">
              <w:rPr>
                <w:sz w:val="20"/>
                <w:szCs w:val="20"/>
              </w:rPr>
              <w:t xml:space="preserve">UE may assume the </w:t>
            </w:r>
            <w:r w:rsidRPr="00FF2801">
              <w:rPr>
                <w:rFonts w:eastAsia="DengXian"/>
                <w:sz w:val="20"/>
                <w:szCs w:val="20"/>
              </w:rPr>
              <w:t xml:space="preserve">similar </w:t>
            </w:r>
            <w:r w:rsidRPr="00FF2801">
              <w:rPr>
                <w:sz w:val="20"/>
                <w:szCs w:val="20"/>
              </w:rPr>
              <w:t>properties of a DL Tx beam or beam set/list associated with the same associated ID</w:t>
            </w:r>
          </w:p>
          <w:p w:rsidR="005133CD" w:rsidRPr="005133CD" w:rsidRDefault="005133CD" w:rsidP="005133CD">
            <w:pPr>
              <w:pStyle w:val="ListParagraph"/>
              <w:numPr>
                <w:ilvl w:val="1"/>
                <w:numId w:val="693"/>
              </w:numPr>
              <w:spacing w:after="180"/>
              <w:ind w:leftChars="0"/>
              <w:rPr>
                <w:rFonts w:ascii="Times New Roman" w:hAnsi="Times New Roman"/>
                <w:szCs w:val="20"/>
              </w:rPr>
            </w:pPr>
            <w:r w:rsidRPr="00FF2801">
              <w:rPr>
                <w:rFonts w:ascii="Times New Roman" w:hAnsi="Times New Roman"/>
                <w:szCs w:val="20"/>
              </w:rPr>
              <w:t xml:space="preserve">FFS: whether/how to define </w:t>
            </w:r>
            <w:r w:rsidRPr="00FF2801">
              <w:rPr>
                <w:rFonts w:ascii="Times New Roman" w:hAnsi="Times New Roman"/>
                <w:i/>
                <w:iCs/>
                <w:szCs w:val="20"/>
              </w:rPr>
              <w:t>similar properties</w:t>
            </w:r>
            <w:r w:rsidRPr="00FF2801">
              <w:rPr>
                <w:rFonts w:ascii="Times New Roman" w:hAnsi="Times New Roman"/>
                <w:szCs w:val="20"/>
              </w:rPr>
              <w:t xml:space="preserve"> of a DL Tx beam or beam set/list</w:t>
            </w:r>
          </w:p>
        </w:tc>
      </w:tr>
    </w:tbl>
    <w:p w:rsidR="005133CD" w:rsidRDefault="005133CD" w:rsidP="005F50BF">
      <w:pPr>
        <w:pStyle w:val="0Maintext"/>
        <w:spacing w:after="120" w:afterAutospacing="0" w:line="240" w:lineRule="auto"/>
        <w:ind w:firstLine="0"/>
        <w:rPr>
          <w:lang w:val="en-US" w:eastAsia="zh-CN"/>
        </w:rPr>
      </w:pPr>
    </w:p>
    <w:p w:rsidR="005133CD" w:rsidRDefault="005133CD" w:rsidP="005F50BF">
      <w:pPr>
        <w:pStyle w:val="0Maintext"/>
        <w:spacing w:after="120" w:afterAutospacing="0" w:line="240" w:lineRule="auto"/>
        <w:ind w:firstLine="0"/>
        <w:rPr>
          <w:lang w:val="en-US" w:eastAsia="zh-CN"/>
        </w:rPr>
      </w:pPr>
      <w:r>
        <w:rPr>
          <w:lang w:val="en-US" w:eastAsia="zh-CN"/>
        </w:rPr>
        <w:t>One open issue is how to configure the associated ID. Since the inference is based on the CSI report configuration, the associated ID can be configured per CSI report configuration. Then with regard to different NW states, e.g., different beam grids as a result of NW energy saving, the NW can configure multiple CSI report configurations based on different associated IDs and activate a subset of CSI report configurations.</w:t>
      </w:r>
    </w:p>
    <w:p w:rsidR="005133CD" w:rsidRPr="005133CD" w:rsidRDefault="005133CD"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CB4DF7">
        <w:rPr>
          <w:b/>
          <w:bCs/>
          <w:i/>
          <w:iCs/>
          <w:lang w:val="en-US" w:eastAsia="zh-CN"/>
        </w:rPr>
        <w:t>21</w:t>
      </w:r>
      <w:r w:rsidRPr="005133CD">
        <w:rPr>
          <w:b/>
          <w:bCs/>
          <w:i/>
          <w:iCs/>
          <w:lang w:val="en-US" w:eastAsia="zh-CN"/>
        </w:rPr>
        <w:t>: Support to configure the associated ID per CSI report configuration</w:t>
      </w:r>
    </w:p>
    <w:p w:rsidR="005133CD" w:rsidRPr="005133CD" w:rsidRDefault="005133CD" w:rsidP="005133CD">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FC5262" w:rsidRDefault="00FC5262" w:rsidP="00557396">
      <w:pPr>
        <w:pStyle w:val="0Maintext"/>
        <w:spacing w:after="120" w:afterAutospacing="0" w:line="240" w:lineRule="auto"/>
        <w:ind w:firstLine="0"/>
        <w:rPr>
          <w:lang w:val="en-US" w:eastAsia="zh-CN"/>
        </w:rPr>
      </w:pPr>
    </w:p>
    <w:p w:rsidR="001511E2" w:rsidRDefault="001511E2" w:rsidP="005133CD">
      <w:pPr>
        <w:pStyle w:val="Heading1"/>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5133CD" w:rsidRDefault="001511E2" w:rsidP="00557396">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CB4DF7">
        <w:rPr>
          <w:b/>
          <w:bCs/>
          <w:i/>
          <w:iCs/>
          <w:lang w:val="en-US" w:eastAsia="zh-CN"/>
        </w:rPr>
        <w:t>22</w:t>
      </w:r>
      <w:r w:rsidRPr="001511E2">
        <w:rPr>
          <w:b/>
          <w:bCs/>
          <w:i/>
          <w:iCs/>
          <w:lang w:val="en-US" w:eastAsia="zh-CN"/>
        </w:rPr>
        <w:t>: Study the ML based beam prediction to facilitate the event triggered beam report.</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133CD" w:rsidRPr="0046017F" w:rsidRDefault="005133CD" w:rsidP="005133CD">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2</w:t>
      </w:r>
      <w:r w:rsidRPr="004D43C7">
        <w:rPr>
          <w:b/>
          <w:bCs/>
          <w:i/>
          <w:iCs/>
          <w:lang w:val="en-US" w:eastAsia="zh-CN"/>
        </w:rPr>
        <w:t>: Support configurable quantization step and range for different L1-RSRP and absolute L1-RSRP report.</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5133CD" w:rsidRPr="005133CD" w:rsidRDefault="005133CD" w:rsidP="005133CD">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5133CD" w:rsidRPr="00A66498" w:rsidRDefault="005133CD" w:rsidP="005133CD">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5133CD" w:rsidRPr="00EE4C05" w:rsidRDefault="005133CD" w:rsidP="005133CD">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5133CD" w:rsidRDefault="005133CD" w:rsidP="005133CD">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5133CD" w:rsidRPr="006C60F6" w:rsidRDefault="005133CD" w:rsidP="005133CD">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Pr>
          <w:b/>
          <w:bCs/>
          <w:i/>
          <w:iCs/>
          <w:lang w:val="en-US" w:eastAsia="zh-CN"/>
        </w:rPr>
        <w:t>7</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5133CD"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8</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Pr>
          <w:b/>
          <w:bCs/>
          <w:i/>
          <w:iCs/>
          <w:lang w:val="en-US" w:eastAsia="zh-CN"/>
        </w:rPr>
        <w:t>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Pr>
          <w:b/>
          <w:bCs/>
          <w:i/>
          <w:iCs/>
          <w:lang w:val="en-US" w:eastAsia="zh-CN"/>
        </w:rPr>
        <w:t>10</w:t>
      </w:r>
      <w:r w:rsidRPr="009146C0">
        <w:rPr>
          <w:b/>
          <w:bCs/>
          <w:i/>
          <w:iCs/>
          <w:lang w:val="en-US" w:eastAsia="zh-CN"/>
        </w:rPr>
        <w:t>: Support to configure the action delay for the TCI state for beam prediction.</w:t>
      </w:r>
    </w:p>
    <w:p w:rsidR="005133CD" w:rsidRDefault="005133CD" w:rsidP="005133CD">
      <w:pPr>
        <w:pStyle w:val="0Maintext"/>
        <w:spacing w:after="120" w:afterAutospacing="0" w:line="240" w:lineRule="auto"/>
        <w:ind w:firstLine="0"/>
        <w:rPr>
          <w:b/>
          <w:i/>
          <w:lang w:val="en-US" w:eastAsia="zh-CN"/>
        </w:rPr>
      </w:pPr>
      <w:r>
        <w:rPr>
          <w:b/>
          <w:i/>
          <w:lang w:val="en-US" w:eastAsia="zh-CN"/>
        </w:rPr>
        <w:t>Proposal 11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5133CD" w:rsidRPr="007571AE" w:rsidRDefault="005133CD" w:rsidP="005133CD">
      <w:pPr>
        <w:pStyle w:val="0Maintext"/>
        <w:spacing w:after="120" w:afterAutospacing="0" w:line="240" w:lineRule="auto"/>
        <w:ind w:firstLine="0"/>
        <w:rPr>
          <w:b/>
          <w:i/>
          <w:lang w:val="en-US" w:eastAsia="zh-CN"/>
        </w:rPr>
      </w:pPr>
      <w:r>
        <w:rPr>
          <w:b/>
          <w:i/>
          <w:lang w:val="en-US" w:eastAsia="zh-CN"/>
        </w:rPr>
        <w:lastRenderedPageBreak/>
        <w:t>Proposal 12:  Support UE feedback before the beam action time for performance validation for predicted beam in addition to the ACK/NACK for the TCI update signaling for temporal beam prediction.</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13</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15</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16</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17</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18</w:t>
      </w:r>
      <w:r w:rsidRPr="00356952">
        <w:rPr>
          <w:b/>
          <w:bCs/>
          <w:i/>
          <w:iCs/>
          <w:lang w:val="en-US" w:eastAsia="zh-CN"/>
        </w:rPr>
        <w:t>: For Set A RS, support the NW configures 1-port CSI-RS and UE shall not expect the NW multiplex any other DL RS in the same symbol with the set A RS.</w:t>
      </w:r>
    </w:p>
    <w:p w:rsidR="005133CD" w:rsidRPr="005133CD" w:rsidRDefault="005133CD" w:rsidP="005133CD">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5133CD" w:rsidRPr="005133CD" w:rsidRDefault="005133CD" w:rsidP="005133CD">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Pr>
          <w:b/>
          <w:bCs/>
          <w:i/>
          <w:iCs/>
          <w:lang w:val="en-US" w:eastAsia="zh-CN"/>
        </w:rPr>
        <w:t>19</w:t>
      </w:r>
      <w:r w:rsidRPr="005133CD">
        <w:rPr>
          <w:b/>
          <w:bCs/>
          <w:i/>
          <w:iCs/>
          <w:lang w:val="en-US" w:eastAsia="zh-CN"/>
        </w:rPr>
        <w:t>: For NW-side performance monitoring, with regard to the overhead, support Alt2 of option 2 (UE assisted performance monitoring).</w:t>
      </w:r>
    </w:p>
    <w:p w:rsidR="005133CD" w:rsidRPr="005133CD" w:rsidRDefault="005133CD" w:rsidP="005133CD">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Pr>
          <w:b/>
          <w:bCs/>
          <w:i/>
          <w:iCs/>
          <w:lang w:val="en-US" w:eastAsia="zh-CN"/>
        </w:rPr>
        <w:t>20</w:t>
      </w:r>
      <w:r w:rsidRPr="005133CD">
        <w:rPr>
          <w:b/>
          <w:bCs/>
          <w:i/>
          <w:iCs/>
          <w:lang w:val="en-US" w:eastAsia="zh-CN"/>
        </w:rPr>
        <w:t>: Support the UE to request to turn off the UE-side beam prediction</w:t>
      </w:r>
    </w:p>
    <w:p w:rsidR="00CB4DF7" w:rsidRPr="00CB4DF7" w:rsidRDefault="005133CD" w:rsidP="00CB4DF7">
      <w:pPr>
        <w:pStyle w:val="0Maintext"/>
        <w:numPr>
          <w:ilvl w:val="0"/>
          <w:numId w:val="706"/>
        </w:numPr>
        <w:spacing w:after="120" w:afterAutospacing="0" w:line="240" w:lineRule="auto"/>
        <w:rPr>
          <w:b/>
          <w:bCs/>
          <w:i/>
          <w:iCs/>
          <w:lang w:val="en-US" w:eastAsia="zh-CN"/>
        </w:rPr>
      </w:pPr>
      <w:r w:rsidRPr="005133CD">
        <w:rPr>
          <w:b/>
          <w:bCs/>
          <w:i/>
          <w:iCs/>
          <w:lang w:val="en-US" w:eastAsia="zh-CN"/>
        </w:rPr>
        <w:t>FFS the event (e.g., UE-side performance monitoring, overheating, etc) for the UE to trigger such request</w:t>
      </w:r>
    </w:p>
    <w:p w:rsidR="00CB4DF7" w:rsidRPr="005133CD" w:rsidRDefault="00CB4DF7" w:rsidP="00CB4DF7">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Pr>
          <w:b/>
          <w:bCs/>
          <w:i/>
          <w:iCs/>
          <w:lang w:val="en-US" w:eastAsia="zh-CN"/>
        </w:rPr>
        <w:t>21</w:t>
      </w:r>
      <w:r w:rsidRPr="005133CD">
        <w:rPr>
          <w:b/>
          <w:bCs/>
          <w:i/>
          <w:iCs/>
          <w:lang w:val="en-US" w:eastAsia="zh-CN"/>
        </w:rPr>
        <w:t>: Support to configure the associated ID per CSI report configuration</w:t>
      </w:r>
    </w:p>
    <w:p w:rsidR="00CB4DF7" w:rsidRPr="00CB4DF7" w:rsidRDefault="00CB4DF7" w:rsidP="00CB4DF7">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5133CD" w:rsidRDefault="005133CD" w:rsidP="00557396">
      <w:pPr>
        <w:pStyle w:val="0Maintext"/>
        <w:spacing w:after="120" w:afterAutospacing="0" w:line="240" w:lineRule="auto"/>
        <w:ind w:firstLine="0"/>
        <w:rPr>
          <w:lang w:val="en-US" w:eastAsia="zh-CN"/>
        </w:rPr>
      </w:pPr>
      <w:r w:rsidRPr="001511E2">
        <w:rPr>
          <w:b/>
          <w:bCs/>
          <w:i/>
          <w:iCs/>
          <w:lang w:val="en-US" w:eastAsia="zh-CN"/>
        </w:rPr>
        <w:t xml:space="preserve">Proposal </w:t>
      </w:r>
      <w:r w:rsidR="00CB4DF7">
        <w:rPr>
          <w:b/>
          <w:bCs/>
          <w:i/>
          <w:iCs/>
          <w:lang w:val="en-US" w:eastAsia="zh-CN"/>
        </w:rPr>
        <w:t>22</w:t>
      </w:r>
      <w:r w:rsidRPr="001511E2">
        <w:rPr>
          <w:b/>
          <w:bCs/>
          <w:i/>
          <w:iCs/>
          <w:lang w:val="en-US" w:eastAsia="zh-CN"/>
        </w:rPr>
        <w:t>: Study the ML based beam prediction to facilitate the event triggered beam report.</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F76EE3B"/>
    <w:multiLevelType w:val="singleLevel"/>
    <w:tmpl w:val="5F76EE3B"/>
    <w:lvl w:ilvl="0">
      <w:start w:val="1"/>
      <w:numFmt w:val="decimal"/>
      <w:suff w:val="space"/>
      <w:lvlText w:val="%1."/>
      <w:lvlJc w:val="left"/>
    </w:lvl>
  </w:abstractNum>
  <w:abstractNum w:abstractNumId="48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9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78970E31"/>
    <w:multiLevelType w:val="hybridMultilevel"/>
    <w:tmpl w:val="1AB4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7"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4"/>
  </w:num>
  <w:num w:numId="3" w16cid:durableId="1992562566">
    <w:abstractNumId w:val="356"/>
  </w:num>
  <w:num w:numId="4" w16cid:durableId="453331326">
    <w:abstractNumId w:val="583"/>
  </w:num>
  <w:num w:numId="5" w16cid:durableId="2049068586">
    <w:abstractNumId w:val="636"/>
  </w:num>
  <w:num w:numId="6" w16cid:durableId="1034618431">
    <w:abstractNumId w:val="564"/>
  </w:num>
  <w:num w:numId="7" w16cid:durableId="1630545893">
    <w:abstractNumId w:val="517"/>
  </w:num>
  <w:num w:numId="8" w16cid:durableId="1226334133">
    <w:abstractNumId w:val="29"/>
  </w:num>
  <w:num w:numId="9" w16cid:durableId="969670963">
    <w:abstractNumId w:val="175"/>
  </w:num>
  <w:num w:numId="10" w16cid:durableId="13073233">
    <w:abstractNumId w:val="556"/>
  </w:num>
  <w:num w:numId="11" w16cid:durableId="1049451307">
    <w:abstractNumId w:val="609"/>
  </w:num>
  <w:num w:numId="12" w16cid:durableId="1274245175">
    <w:abstractNumId w:val="132"/>
  </w:num>
  <w:num w:numId="13" w16cid:durableId="304745579">
    <w:abstractNumId w:val="231"/>
  </w:num>
  <w:num w:numId="14" w16cid:durableId="1919165698">
    <w:abstractNumId w:val="139"/>
  </w:num>
  <w:num w:numId="15" w16cid:durableId="1280600465">
    <w:abstractNumId w:val="323"/>
  </w:num>
  <w:num w:numId="16" w16cid:durableId="679699497">
    <w:abstractNumId w:val="508"/>
  </w:num>
  <w:num w:numId="17" w16cid:durableId="1350713196">
    <w:abstractNumId w:val="452"/>
  </w:num>
  <w:num w:numId="18" w16cid:durableId="1428229749">
    <w:abstractNumId w:val="198"/>
  </w:num>
  <w:num w:numId="19" w16cid:durableId="1846631695">
    <w:abstractNumId w:val="356"/>
  </w:num>
  <w:num w:numId="20" w16cid:durableId="1338384216">
    <w:abstractNumId w:val="316"/>
  </w:num>
  <w:num w:numId="21" w16cid:durableId="1314724841">
    <w:abstractNumId w:val="619"/>
  </w:num>
  <w:num w:numId="22" w16cid:durableId="580680914">
    <w:abstractNumId w:val="25"/>
  </w:num>
  <w:num w:numId="23" w16cid:durableId="1228760671">
    <w:abstractNumId w:val="47"/>
  </w:num>
  <w:num w:numId="24" w16cid:durableId="352461836">
    <w:abstractNumId w:val="393"/>
  </w:num>
  <w:num w:numId="25" w16cid:durableId="684986501">
    <w:abstractNumId w:val="359"/>
  </w:num>
  <w:num w:numId="26" w16cid:durableId="865874228">
    <w:abstractNumId w:val="639"/>
  </w:num>
  <w:num w:numId="27" w16cid:durableId="213545467">
    <w:abstractNumId w:val="519"/>
  </w:num>
  <w:num w:numId="28" w16cid:durableId="280844023">
    <w:abstractNumId w:val="193"/>
  </w:num>
  <w:num w:numId="29" w16cid:durableId="228615413">
    <w:abstractNumId w:val="210"/>
  </w:num>
  <w:num w:numId="30" w16cid:durableId="1504584805">
    <w:abstractNumId w:val="247"/>
  </w:num>
  <w:num w:numId="31" w16cid:durableId="490677133">
    <w:abstractNumId w:val="579"/>
  </w:num>
  <w:num w:numId="32" w16cid:durableId="1301692385">
    <w:abstractNumId w:val="156"/>
  </w:num>
  <w:num w:numId="33" w16cid:durableId="1541088206">
    <w:abstractNumId w:val="514"/>
  </w:num>
  <w:num w:numId="34" w16cid:durableId="825242615">
    <w:abstractNumId w:val="355"/>
  </w:num>
  <w:num w:numId="35" w16cid:durableId="82335965">
    <w:abstractNumId w:val="383"/>
  </w:num>
  <w:num w:numId="36" w16cid:durableId="1037463953">
    <w:abstractNumId w:val="263"/>
  </w:num>
  <w:num w:numId="37" w16cid:durableId="1844321281">
    <w:abstractNumId w:val="357"/>
  </w:num>
  <w:num w:numId="38" w16cid:durableId="1712336691">
    <w:abstractNumId w:val="52"/>
  </w:num>
  <w:num w:numId="39" w16cid:durableId="1089349044">
    <w:abstractNumId w:val="421"/>
  </w:num>
  <w:num w:numId="40" w16cid:durableId="432475320">
    <w:abstractNumId w:val="575"/>
  </w:num>
  <w:num w:numId="41" w16cid:durableId="1358771858">
    <w:abstractNumId w:val="180"/>
  </w:num>
  <w:num w:numId="42" w16cid:durableId="1271282741">
    <w:abstractNumId w:val="167"/>
  </w:num>
  <w:num w:numId="43" w16cid:durableId="211617635">
    <w:abstractNumId w:val="336"/>
  </w:num>
  <w:num w:numId="44" w16cid:durableId="104425776">
    <w:abstractNumId w:val="39"/>
  </w:num>
  <w:num w:numId="45" w16cid:durableId="1209758397">
    <w:abstractNumId w:val="494"/>
  </w:num>
  <w:num w:numId="46" w16cid:durableId="247740000">
    <w:abstractNumId w:val="588"/>
  </w:num>
  <w:num w:numId="47" w16cid:durableId="1092774725">
    <w:abstractNumId w:val="487"/>
  </w:num>
  <w:num w:numId="48" w16cid:durableId="335882311">
    <w:abstractNumId w:val="374"/>
  </w:num>
  <w:num w:numId="49" w16cid:durableId="1707749635">
    <w:abstractNumId w:val="496"/>
  </w:num>
  <w:num w:numId="50" w16cid:durableId="1850675249">
    <w:abstractNumId w:val="499"/>
  </w:num>
  <w:num w:numId="51" w16cid:durableId="1256283137">
    <w:abstractNumId w:val="131"/>
  </w:num>
  <w:num w:numId="52" w16cid:durableId="1680960883">
    <w:abstractNumId w:val="442"/>
  </w:num>
  <w:num w:numId="53" w16cid:durableId="690103763">
    <w:abstractNumId w:val="454"/>
  </w:num>
  <w:num w:numId="54" w16cid:durableId="1139810598">
    <w:abstractNumId w:val="111"/>
  </w:num>
  <w:num w:numId="55" w16cid:durableId="1427384536">
    <w:abstractNumId w:val="216"/>
  </w:num>
  <w:num w:numId="56" w16cid:durableId="446973763">
    <w:abstractNumId w:val="252"/>
  </w:num>
  <w:num w:numId="57" w16cid:durableId="139613241">
    <w:abstractNumId w:val="431"/>
  </w:num>
  <w:num w:numId="58" w16cid:durableId="1478181182">
    <w:abstractNumId w:val="331"/>
  </w:num>
  <w:num w:numId="59" w16cid:durableId="851795243">
    <w:abstractNumId w:val="226"/>
  </w:num>
  <w:num w:numId="60" w16cid:durableId="141238807">
    <w:abstractNumId w:val="105"/>
  </w:num>
  <w:num w:numId="61" w16cid:durableId="124935656">
    <w:abstractNumId w:val="203"/>
  </w:num>
  <w:num w:numId="62" w16cid:durableId="1207369823">
    <w:abstractNumId w:val="302"/>
  </w:num>
  <w:num w:numId="63" w16cid:durableId="1862473204">
    <w:abstractNumId w:val="533"/>
  </w:num>
  <w:num w:numId="64" w16cid:durableId="1905604542">
    <w:abstractNumId w:val="655"/>
  </w:num>
  <w:num w:numId="65" w16cid:durableId="982196344">
    <w:abstractNumId w:val="243"/>
  </w:num>
  <w:num w:numId="66" w16cid:durableId="1139298235">
    <w:abstractNumId w:val="405"/>
  </w:num>
  <w:num w:numId="67" w16cid:durableId="204954824">
    <w:abstractNumId w:val="91"/>
  </w:num>
  <w:num w:numId="68" w16cid:durableId="1038746496">
    <w:abstractNumId w:val="628"/>
  </w:num>
  <w:num w:numId="69" w16cid:durableId="1811558101">
    <w:abstractNumId w:val="543"/>
  </w:num>
  <w:num w:numId="70" w16cid:durableId="1843200846">
    <w:abstractNumId w:val="256"/>
  </w:num>
  <w:num w:numId="71" w16cid:durableId="1933119339">
    <w:abstractNumId w:val="532"/>
  </w:num>
  <w:num w:numId="72" w16cid:durableId="1036852241">
    <w:abstractNumId w:val="535"/>
  </w:num>
  <w:num w:numId="73" w16cid:durableId="1790315074">
    <w:abstractNumId w:val="14"/>
  </w:num>
  <w:num w:numId="74" w16cid:durableId="663705308">
    <w:abstractNumId w:val="94"/>
  </w:num>
  <w:num w:numId="75" w16cid:durableId="1957102363">
    <w:abstractNumId w:val="503"/>
  </w:num>
  <w:num w:numId="76" w16cid:durableId="1108499460">
    <w:abstractNumId w:val="593"/>
  </w:num>
  <w:num w:numId="77" w16cid:durableId="1234468293">
    <w:abstractNumId w:val="399"/>
  </w:num>
  <w:num w:numId="78" w16cid:durableId="798187297">
    <w:abstractNumId w:val="174"/>
  </w:num>
  <w:num w:numId="79" w16cid:durableId="1148740106">
    <w:abstractNumId w:val="626"/>
  </w:num>
  <w:num w:numId="80" w16cid:durableId="1447694620">
    <w:abstractNumId w:val="342"/>
  </w:num>
  <w:num w:numId="81" w16cid:durableId="390544746">
    <w:abstractNumId w:val="238"/>
  </w:num>
  <w:num w:numId="82" w16cid:durableId="1409034327">
    <w:abstractNumId w:val="358"/>
  </w:num>
  <w:num w:numId="83" w16cid:durableId="958491209">
    <w:abstractNumId w:val="184"/>
  </w:num>
  <w:num w:numId="84" w16cid:durableId="1079716391">
    <w:abstractNumId w:val="546"/>
  </w:num>
  <w:num w:numId="85" w16cid:durableId="1112434928">
    <w:abstractNumId w:val="484"/>
  </w:num>
  <w:num w:numId="86" w16cid:durableId="44765783">
    <w:abstractNumId w:val="244"/>
  </w:num>
  <w:num w:numId="87" w16cid:durableId="1506021163">
    <w:abstractNumId w:val="668"/>
  </w:num>
  <w:num w:numId="88" w16cid:durableId="231236709">
    <w:abstractNumId w:val="631"/>
  </w:num>
  <w:num w:numId="89" w16cid:durableId="1425108391">
    <w:abstractNumId w:val="343"/>
  </w:num>
  <w:num w:numId="90" w16cid:durableId="1859351942">
    <w:abstractNumId w:val="218"/>
  </w:num>
  <w:num w:numId="91" w16cid:durableId="1731536428">
    <w:abstractNumId w:val="136"/>
  </w:num>
  <w:num w:numId="92" w16cid:durableId="515383001">
    <w:abstractNumId w:val="38"/>
  </w:num>
  <w:num w:numId="93" w16cid:durableId="360398021">
    <w:abstractNumId w:val="178"/>
  </w:num>
  <w:num w:numId="94" w16cid:durableId="174923808">
    <w:abstractNumId w:val="280"/>
  </w:num>
  <w:num w:numId="95" w16cid:durableId="473181489">
    <w:abstractNumId w:val="21"/>
  </w:num>
  <w:num w:numId="96" w16cid:durableId="1788426273">
    <w:abstractNumId w:val="30"/>
  </w:num>
  <w:num w:numId="97" w16cid:durableId="436874185">
    <w:abstractNumId w:val="106"/>
  </w:num>
  <w:num w:numId="98" w16cid:durableId="1998848881">
    <w:abstractNumId w:val="483"/>
  </w:num>
  <w:num w:numId="99" w16cid:durableId="730663910">
    <w:abstractNumId w:val="127"/>
  </w:num>
  <w:num w:numId="100" w16cid:durableId="705720526">
    <w:abstractNumId w:val="55"/>
  </w:num>
  <w:num w:numId="101" w16cid:durableId="1403674464">
    <w:abstractNumId w:val="641"/>
  </w:num>
  <w:num w:numId="102" w16cid:durableId="815487411">
    <w:abstractNumId w:val="433"/>
  </w:num>
  <w:num w:numId="103" w16cid:durableId="1816412511">
    <w:abstractNumId w:val="260"/>
  </w:num>
  <w:num w:numId="104" w16cid:durableId="291403418">
    <w:abstractNumId w:val="69"/>
  </w:num>
  <w:num w:numId="105" w16cid:durableId="1038819725">
    <w:abstractNumId w:val="635"/>
  </w:num>
  <w:num w:numId="106" w16cid:durableId="1303459653">
    <w:abstractNumId w:val="31"/>
  </w:num>
  <w:num w:numId="107" w16cid:durableId="107505101">
    <w:abstractNumId w:val="138"/>
  </w:num>
  <w:num w:numId="108" w16cid:durableId="771316342">
    <w:abstractNumId w:val="315"/>
  </w:num>
  <w:num w:numId="109" w16cid:durableId="390857075">
    <w:abstractNumId w:val="555"/>
  </w:num>
  <w:num w:numId="110" w16cid:durableId="1317759215">
    <w:abstractNumId w:val="561"/>
  </w:num>
  <w:num w:numId="111" w16cid:durableId="1554851074">
    <w:abstractNumId w:val="188"/>
  </w:num>
  <w:num w:numId="112" w16cid:durableId="70590409">
    <w:abstractNumId w:val="488"/>
  </w:num>
  <w:num w:numId="113" w16cid:durableId="646208079">
    <w:abstractNumId w:val="459"/>
  </w:num>
  <w:num w:numId="114" w16cid:durableId="1368288384">
    <w:abstractNumId w:val="443"/>
  </w:num>
  <w:num w:numId="115" w16cid:durableId="925304387">
    <w:abstractNumId w:val="79"/>
  </w:num>
  <w:num w:numId="116" w16cid:durableId="1780564578">
    <w:abstractNumId w:val="304"/>
  </w:num>
  <w:num w:numId="117" w16cid:durableId="1897661843">
    <w:abstractNumId w:val="166"/>
  </w:num>
  <w:num w:numId="118" w16cid:durableId="262306618">
    <w:abstractNumId w:val="45"/>
  </w:num>
  <w:num w:numId="119" w16cid:durableId="1081870374">
    <w:abstractNumId w:val="348"/>
  </w:num>
  <w:num w:numId="120" w16cid:durableId="1550995798">
    <w:abstractNumId w:val="28"/>
  </w:num>
  <w:num w:numId="121" w16cid:durableId="551312743">
    <w:abstractNumId w:val="577"/>
  </w:num>
  <w:num w:numId="122" w16cid:durableId="2047170488">
    <w:abstractNumId w:val="428"/>
  </w:num>
  <w:num w:numId="123" w16cid:durableId="16395167">
    <w:abstractNumId w:val="265"/>
  </w:num>
  <w:num w:numId="124" w16cid:durableId="611131355">
    <w:abstractNumId w:val="173"/>
  </w:num>
  <w:num w:numId="125" w16cid:durableId="1214999949">
    <w:abstractNumId w:val="100"/>
  </w:num>
  <w:num w:numId="126" w16cid:durableId="1400477">
    <w:abstractNumId w:val="250"/>
  </w:num>
  <w:num w:numId="127" w16cid:durableId="161705551">
    <w:abstractNumId w:val="134"/>
  </w:num>
  <w:num w:numId="128" w16cid:durableId="479345889">
    <w:abstractNumId w:val="200"/>
  </w:num>
  <w:num w:numId="129" w16cid:durableId="1092092798">
    <w:abstractNumId w:val="497"/>
  </w:num>
  <w:num w:numId="130" w16cid:durableId="503056500">
    <w:abstractNumId w:val="455"/>
  </w:num>
  <w:num w:numId="131" w16cid:durableId="1823695070">
    <w:abstractNumId w:val="310"/>
  </w:num>
  <w:num w:numId="132" w16cid:durableId="1654142246">
    <w:abstractNumId w:val="179"/>
  </w:num>
  <w:num w:numId="133" w16cid:durableId="546262173">
    <w:abstractNumId w:val="613"/>
  </w:num>
  <w:num w:numId="134" w16cid:durableId="1971473118">
    <w:abstractNumId w:val="300"/>
  </w:num>
  <w:num w:numId="135" w16cid:durableId="1823081473">
    <w:abstractNumId w:val="633"/>
  </w:num>
  <w:num w:numId="136" w16cid:durableId="952133270">
    <w:abstractNumId w:val="298"/>
  </w:num>
  <w:num w:numId="137" w16cid:durableId="1273829588">
    <w:abstractNumId w:val="19"/>
  </w:num>
  <w:num w:numId="138" w16cid:durableId="972101207">
    <w:abstractNumId w:val="598"/>
  </w:num>
  <w:num w:numId="139" w16cid:durableId="1191842701">
    <w:abstractNumId w:val="229"/>
  </w:num>
  <w:num w:numId="140" w16cid:durableId="835608991">
    <w:abstractNumId w:val="124"/>
  </w:num>
  <w:num w:numId="141" w16cid:durableId="1512062161">
    <w:abstractNumId w:val="515"/>
  </w:num>
  <w:num w:numId="142" w16cid:durableId="1494103221">
    <w:abstractNumId w:val="429"/>
  </w:num>
  <w:num w:numId="143" w16cid:durableId="1018121323">
    <w:abstractNumId w:val="73"/>
  </w:num>
  <w:num w:numId="144" w16cid:durableId="1879588550">
    <w:abstractNumId w:val="97"/>
  </w:num>
  <w:num w:numId="145" w16cid:durableId="1134984519">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4"/>
  </w:num>
  <w:num w:numId="148" w16cid:durableId="1920865252">
    <w:abstractNumId w:val="432"/>
  </w:num>
  <w:num w:numId="149" w16cid:durableId="1342078707">
    <w:abstractNumId w:val="292"/>
  </w:num>
  <w:num w:numId="150" w16cid:durableId="193035228">
    <w:abstractNumId w:val="125"/>
  </w:num>
  <w:num w:numId="151" w16cid:durableId="184439367">
    <w:abstractNumId w:val="42"/>
  </w:num>
  <w:num w:numId="152" w16cid:durableId="621041337">
    <w:abstractNumId w:val="547"/>
  </w:num>
  <w:num w:numId="153" w16cid:durableId="1364986458">
    <w:abstractNumId w:val="158"/>
  </w:num>
  <w:num w:numId="154" w16cid:durableId="1097794206">
    <w:abstractNumId w:val="368"/>
  </w:num>
  <w:num w:numId="155" w16cid:durableId="471293945">
    <w:abstractNumId w:val="145"/>
  </w:num>
  <w:num w:numId="156" w16cid:durableId="233861890">
    <w:abstractNumId w:val="259"/>
  </w:num>
  <w:num w:numId="157" w16cid:durableId="1566799051">
    <w:abstractNumId w:val="325"/>
  </w:num>
  <w:num w:numId="158" w16cid:durableId="1935894964">
    <w:abstractNumId w:val="361"/>
  </w:num>
  <w:num w:numId="159" w16cid:durableId="1499075522">
    <w:abstractNumId w:val="212"/>
  </w:num>
  <w:num w:numId="160" w16cid:durableId="474370772">
    <w:abstractNumId w:val="110"/>
  </w:num>
  <w:num w:numId="161" w16cid:durableId="1393389754">
    <w:abstractNumId w:val="119"/>
  </w:num>
  <w:num w:numId="162" w16cid:durableId="1534030185">
    <w:abstractNumId w:val="528"/>
  </w:num>
  <w:num w:numId="163" w16cid:durableId="279646940">
    <w:abstractNumId w:val="182"/>
  </w:num>
  <w:num w:numId="164" w16cid:durableId="605312509">
    <w:abstractNumId w:val="489"/>
  </w:num>
  <w:num w:numId="165" w16cid:durableId="443185882">
    <w:abstractNumId w:val="603"/>
  </w:num>
  <w:num w:numId="166" w16cid:durableId="1252742756">
    <w:abstractNumId w:val="98"/>
  </w:num>
  <w:num w:numId="167" w16cid:durableId="260846523">
    <w:abstractNumId w:val="430"/>
  </w:num>
  <w:num w:numId="168" w16cid:durableId="1324041525">
    <w:abstractNumId w:val="371"/>
  </w:num>
  <w:num w:numId="169" w16cid:durableId="1262252593">
    <w:abstractNumId w:val="344"/>
  </w:num>
  <w:num w:numId="170" w16cid:durableId="568425394">
    <w:abstractNumId w:val="530"/>
  </w:num>
  <w:num w:numId="171" w16cid:durableId="1098595399">
    <w:abstractNumId w:val="341"/>
  </w:num>
  <w:num w:numId="172" w16cid:durableId="966275078">
    <w:abstractNumId w:val="258"/>
  </w:num>
  <w:num w:numId="173" w16cid:durableId="17505991">
    <w:abstractNumId w:val="621"/>
  </w:num>
  <w:num w:numId="174" w16cid:durableId="2122797601">
    <w:abstractNumId w:val="549"/>
  </w:num>
  <w:num w:numId="175" w16cid:durableId="260995503">
    <w:abstractNumId w:val="219"/>
  </w:num>
  <w:num w:numId="176" w16cid:durableId="79330256">
    <w:abstractNumId w:val="112"/>
  </w:num>
  <w:num w:numId="177" w16cid:durableId="926495480">
    <w:abstractNumId w:val="640"/>
  </w:num>
  <w:num w:numId="178" w16cid:durableId="426199675">
    <w:abstractNumId w:val="281"/>
  </w:num>
  <w:num w:numId="179" w16cid:durableId="669715114">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1"/>
  </w:num>
  <w:num w:numId="181" w16cid:durableId="616567933">
    <w:abstractNumId w:val="150"/>
  </w:num>
  <w:num w:numId="182" w16cid:durableId="848452348">
    <w:abstractNumId w:val="204"/>
  </w:num>
  <w:num w:numId="183" w16cid:durableId="1333797169">
    <w:abstractNumId w:val="307"/>
  </w:num>
  <w:num w:numId="184" w16cid:durableId="2044944210">
    <w:abstractNumId w:val="23"/>
  </w:num>
  <w:num w:numId="185" w16cid:durableId="183713347">
    <w:abstractNumId w:val="412"/>
  </w:num>
  <w:num w:numId="186" w16cid:durableId="1265381070">
    <w:abstractNumId w:val="649"/>
  </w:num>
  <w:num w:numId="187" w16cid:durableId="1455371280">
    <w:abstractNumId w:val="642"/>
  </w:num>
  <w:num w:numId="188" w16cid:durableId="13771316">
    <w:abstractNumId w:val="582"/>
  </w:num>
  <w:num w:numId="189" w16cid:durableId="1552574112">
    <w:abstractNumId w:val="129"/>
  </w:num>
  <w:num w:numId="190" w16cid:durableId="1183209648">
    <w:abstractNumId w:val="667"/>
  </w:num>
  <w:num w:numId="191" w16cid:durableId="620651123">
    <w:abstractNumId w:val="233"/>
  </w:num>
  <w:num w:numId="192" w16cid:durableId="512190583">
    <w:abstractNumId w:val="592"/>
  </w:num>
  <w:num w:numId="193" w16cid:durableId="1812013657">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99"/>
  </w:num>
  <w:num w:numId="196" w16cid:durableId="348870539">
    <w:abstractNumId w:val="186"/>
  </w:num>
  <w:num w:numId="197" w16cid:durableId="755174581">
    <w:abstractNumId w:val="571"/>
  </w:num>
  <w:num w:numId="198" w16cid:durableId="682511064">
    <w:abstractNumId w:val="209"/>
  </w:num>
  <w:num w:numId="199" w16cid:durableId="213124055">
    <w:abstractNumId w:val="153"/>
  </w:num>
  <w:num w:numId="200" w16cid:durableId="1930961606">
    <w:abstractNumId w:val="164"/>
  </w:num>
  <w:num w:numId="201" w16cid:durableId="1187672001">
    <w:abstractNumId w:val="130"/>
  </w:num>
  <w:num w:numId="202" w16cid:durableId="140732686">
    <w:abstractNumId w:val="648"/>
  </w:num>
  <w:num w:numId="203" w16cid:durableId="2099668977">
    <w:abstractNumId w:val="552"/>
  </w:num>
  <w:num w:numId="204" w16cid:durableId="1423330075">
    <w:abstractNumId w:val="376"/>
  </w:num>
  <w:num w:numId="205" w16cid:durableId="516430635">
    <w:abstractNumId w:val="379"/>
  </w:num>
  <w:num w:numId="206" w16cid:durableId="132914076">
    <w:abstractNumId w:val="553"/>
  </w:num>
  <w:num w:numId="207" w16cid:durableId="1553468210">
    <w:abstractNumId w:val="197"/>
  </w:num>
  <w:num w:numId="208" w16cid:durableId="530605028">
    <w:abstractNumId w:val="171"/>
  </w:num>
  <w:num w:numId="209" w16cid:durableId="1896356902">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5"/>
  </w:num>
  <w:num w:numId="211" w16cid:durableId="923496937">
    <w:abstractNumId w:val="141"/>
  </w:num>
  <w:num w:numId="212" w16cid:durableId="1288967158">
    <w:abstractNumId w:val="537"/>
  </w:num>
  <w:num w:numId="213" w16cid:durableId="2100056123">
    <w:abstractNumId w:val="542"/>
  </w:num>
  <w:num w:numId="214" w16cid:durableId="674382947">
    <w:abstractNumId w:val="378"/>
  </w:num>
  <w:num w:numId="215" w16cid:durableId="1600212391">
    <w:abstractNumId w:val="7"/>
  </w:num>
  <w:num w:numId="216" w16cid:durableId="957178947">
    <w:abstractNumId w:val="616"/>
  </w:num>
  <w:num w:numId="217" w16cid:durableId="856037630">
    <w:abstractNumId w:val="305"/>
  </w:num>
  <w:num w:numId="218" w16cid:durableId="177741845">
    <w:abstractNumId w:val="406"/>
  </w:num>
  <w:num w:numId="219" w16cid:durableId="234317243">
    <w:abstractNumId w:val="346"/>
  </w:num>
  <w:num w:numId="220" w16cid:durableId="207114382">
    <w:abstractNumId w:val="386"/>
  </w:num>
  <w:num w:numId="221" w16cid:durableId="499197150">
    <w:abstractNumId w:val="365"/>
  </w:num>
  <w:num w:numId="222" w16cid:durableId="208733871">
    <w:abstractNumId w:val="587"/>
  </w:num>
  <w:num w:numId="223" w16cid:durableId="650669702">
    <w:abstractNumId w:val="43"/>
  </w:num>
  <w:num w:numId="224" w16cid:durableId="1420369411">
    <w:abstractNumId w:val="95"/>
  </w:num>
  <w:num w:numId="225" w16cid:durableId="2138523187">
    <w:abstractNumId w:val="380"/>
  </w:num>
  <w:num w:numId="226" w16cid:durableId="1753432703">
    <w:abstractNumId w:val="41"/>
  </w:num>
  <w:num w:numId="227" w16cid:durableId="1286698376">
    <w:abstractNumId w:val="474"/>
  </w:num>
  <w:num w:numId="228" w16cid:durableId="926614891">
    <w:abstractNumId w:val="207"/>
  </w:num>
  <w:num w:numId="229" w16cid:durableId="2003779183">
    <w:abstractNumId w:val="40"/>
  </w:num>
  <w:num w:numId="230" w16cid:durableId="1626421133">
    <w:abstractNumId w:val="381"/>
  </w:num>
  <w:num w:numId="231" w16cid:durableId="1514107354">
    <w:abstractNumId w:val="80"/>
  </w:num>
  <w:num w:numId="232" w16cid:durableId="2002198122">
    <w:abstractNumId w:val="337"/>
  </w:num>
  <w:num w:numId="233" w16cid:durableId="65298297">
    <w:abstractNumId w:val="353"/>
  </w:num>
  <w:num w:numId="234" w16cid:durableId="9379085">
    <w:abstractNumId w:val="591"/>
  </w:num>
  <w:num w:numId="235" w16cid:durableId="792747114">
    <w:abstractNumId w:val="479"/>
  </w:num>
  <w:num w:numId="236" w16cid:durableId="448009427">
    <w:abstractNumId w:val="434"/>
  </w:num>
  <w:num w:numId="237" w16cid:durableId="464274601">
    <w:abstractNumId w:val="322"/>
  </w:num>
  <w:num w:numId="238" w16cid:durableId="1460339731">
    <w:abstractNumId w:val="92"/>
  </w:num>
  <w:num w:numId="239" w16cid:durableId="2088336002">
    <w:abstractNumId w:val="152"/>
  </w:num>
  <w:num w:numId="240" w16cid:durableId="716852569">
    <w:abstractNumId w:val="394"/>
  </w:num>
  <w:num w:numId="241" w16cid:durableId="573198160">
    <w:abstractNumId w:val="64"/>
  </w:num>
  <w:num w:numId="242" w16cid:durableId="2128695751">
    <w:abstractNumId w:val="213"/>
  </w:num>
  <w:num w:numId="243" w16cid:durableId="355353616">
    <w:abstractNumId w:val="536"/>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7"/>
  </w:num>
  <w:num w:numId="249" w16cid:durableId="911039511">
    <w:abstractNumId w:val="513"/>
  </w:num>
  <w:num w:numId="250" w16cid:durableId="689067992">
    <w:abstractNumId w:val="637"/>
  </w:num>
  <w:num w:numId="251" w16cid:durableId="8862150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6"/>
  </w:num>
  <w:num w:numId="253" w16cid:durableId="704646338">
    <w:abstractNumId w:val="629"/>
  </w:num>
  <w:num w:numId="254" w16cid:durableId="411121149">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0"/>
  </w:num>
  <w:num w:numId="256" w16cid:durableId="1623340113">
    <w:abstractNumId w:val="34"/>
  </w:num>
  <w:num w:numId="257" w16cid:durableId="856625358">
    <w:abstractNumId w:val="607"/>
  </w:num>
  <w:num w:numId="258" w16cid:durableId="1943561945">
    <w:abstractNumId w:val="423"/>
    <w:lvlOverride w:ilvl="0">
      <w:startOverride w:val="1"/>
    </w:lvlOverride>
  </w:num>
  <w:num w:numId="259" w16cid:durableId="1362588517">
    <w:abstractNumId w:val="40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2"/>
  </w:num>
  <w:num w:numId="261" w16cid:durableId="2024940103">
    <w:abstractNumId w:val="573"/>
  </w:num>
  <w:num w:numId="262" w16cid:durableId="765005926">
    <w:abstractNumId w:val="234"/>
  </w:num>
  <w:num w:numId="263" w16cid:durableId="1064451611">
    <w:abstractNumId w:val="120"/>
  </w:num>
  <w:num w:numId="264" w16cid:durableId="1318849390">
    <w:abstractNumId w:val="527"/>
  </w:num>
  <w:num w:numId="265" w16cid:durableId="959382145">
    <w:abstractNumId w:val="60"/>
  </w:num>
  <w:num w:numId="266" w16cid:durableId="850728947">
    <w:abstractNumId w:val="33"/>
  </w:num>
  <w:num w:numId="267" w16cid:durableId="174156760">
    <w:abstractNumId w:val="512"/>
  </w:num>
  <w:num w:numId="268" w16cid:durableId="2101950285">
    <w:abstractNumId w:val="291"/>
  </w:num>
  <w:num w:numId="269" w16cid:durableId="967247845">
    <w:abstractNumId w:val="199"/>
  </w:num>
  <w:num w:numId="270" w16cid:durableId="268204703">
    <w:abstractNumId w:val="135"/>
  </w:num>
  <w:num w:numId="271" w16cid:durableId="2093041769">
    <w:abstractNumId w:val="389"/>
  </w:num>
  <w:num w:numId="272" w16cid:durableId="513807455">
    <w:abstractNumId w:val="654"/>
  </w:num>
  <w:num w:numId="273" w16cid:durableId="1183780686">
    <w:abstractNumId w:val="340"/>
  </w:num>
  <w:num w:numId="274" w16cid:durableId="1200363486">
    <w:abstractNumId w:val="67"/>
  </w:num>
  <w:num w:numId="275" w16cid:durableId="1744914822">
    <w:abstractNumId w:val="285"/>
  </w:num>
  <w:num w:numId="276" w16cid:durableId="1454054575">
    <w:abstractNumId w:val="160"/>
  </w:num>
  <w:num w:numId="277" w16cid:durableId="375928787">
    <w:abstractNumId w:val="410"/>
  </w:num>
  <w:num w:numId="278" w16cid:durableId="1404376487">
    <w:abstractNumId w:val="449"/>
  </w:num>
  <w:num w:numId="279" w16cid:durableId="1476684686">
    <w:abstractNumId w:val="590"/>
  </w:num>
  <w:num w:numId="280" w16cid:durableId="1680085818">
    <w:abstractNumId w:val="404"/>
  </w:num>
  <w:num w:numId="281" w16cid:durableId="1538276170">
    <w:abstractNumId w:val="584"/>
  </w:num>
  <w:num w:numId="282" w16cid:durableId="1233586950">
    <w:abstractNumId w:val="482"/>
  </w:num>
  <w:num w:numId="283" w16cid:durableId="511064844">
    <w:abstractNumId w:val="630"/>
  </w:num>
  <w:num w:numId="284" w16cid:durableId="112678227">
    <w:abstractNumId w:val="10"/>
  </w:num>
  <w:num w:numId="285" w16cid:durableId="246619738">
    <w:abstractNumId w:val="495"/>
  </w:num>
  <w:num w:numId="286" w16cid:durableId="149561389">
    <w:abstractNumId w:val="651"/>
  </w:num>
  <w:num w:numId="287" w16cid:durableId="96491753">
    <w:abstractNumId w:val="396"/>
  </w:num>
  <w:num w:numId="288" w16cid:durableId="528303774">
    <w:abstractNumId w:val="466"/>
  </w:num>
  <w:num w:numId="289" w16cid:durableId="1795559387">
    <w:abstractNumId w:val="477"/>
  </w:num>
  <w:num w:numId="290" w16cid:durableId="1876968532">
    <w:abstractNumId w:val="159"/>
  </w:num>
  <w:num w:numId="291" w16cid:durableId="340552470">
    <w:abstractNumId w:val="77"/>
  </w:num>
  <w:num w:numId="292" w16cid:durableId="1955091229">
    <w:abstractNumId w:val="589"/>
  </w:num>
  <w:num w:numId="293" w16cid:durableId="1420175202">
    <w:abstractNumId w:val="270"/>
  </w:num>
  <w:num w:numId="294" w16cid:durableId="384720639">
    <w:abstractNumId w:val="101"/>
  </w:num>
  <w:num w:numId="295" w16cid:durableId="904418190">
    <w:abstractNumId w:val="68"/>
  </w:num>
  <w:num w:numId="296" w16cid:durableId="1065756989">
    <w:abstractNumId w:val="318"/>
  </w:num>
  <w:num w:numId="297" w16cid:durableId="1247687493">
    <w:abstractNumId w:val="254"/>
  </w:num>
  <w:num w:numId="298" w16cid:durableId="462233371">
    <w:abstractNumId w:val="395"/>
  </w:num>
  <w:num w:numId="299" w16cid:durableId="318310673">
    <w:abstractNumId w:val="392"/>
  </w:num>
  <w:num w:numId="300" w16cid:durableId="2061663196">
    <w:abstractNumId w:val="521"/>
  </w:num>
  <w:num w:numId="301" w16cid:durableId="1741949037">
    <w:abstractNumId w:val="338"/>
  </w:num>
  <w:num w:numId="302" w16cid:durableId="1636518501">
    <w:abstractNumId w:val="601"/>
  </w:num>
  <w:num w:numId="303" w16cid:durableId="1371419210">
    <w:abstractNumId w:val="240"/>
  </w:num>
  <w:num w:numId="304" w16cid:durableId="1885681087">
    <w:abstractNumId w:val="133"/>
  </w:num>
  <w:num w:numId="305" w16cid:durableId="718092894">
    <w:abstractNumId w:val="288"/>
  </w:num>
  <w:num w:numId="306" w16cid:durableId="1456869833">
    <w:abstractNumId w:val="470"/>
  </w:num>
  <w:num w:numId="307" w16cid:durableId="1516637">
    <w:abstractNumId w:val="3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493"/>
  </w:num>
  <w:num w:numId="310" w16cid:durableId="155269771">
    <w:abstractNumId w:val="665"/>
  </w:num>
  <w:num w:numId="311" w16cid:durableId="520316022">
    <w:abstractNumId w:val="24"/>
  </w:num>
  <w:num w:numId="312" w16cid:durableId="1586840183">
    <w:abstractNumId w:val="481"/>
  </w:num>
  <w:num w:numId="313" w16cid:durableId="487598853">
    <w:abstractNumId w:val="516"/>
  </w:num>
  <w:num w:numId="314" w16cid:durableId="416442120">
    <w:abstractNumId w:val="450"/>
  </w:num>
  <w:num w:numId="315" w16cid:durableId="1570186959">
    <w:abstractNumId w:val="71"/>
  </w:num>
  <w:num w:numId="316" w16cid:durableId="235360647">
    <w:abstractNumId w:val="550"/>
  </w:num>
  <w:num w:numId="317" w16cid:durableId="20127502">
    <w:abstractNumId w:val="20"/>
  </w:num>
  <w:num w:numId="318" w16cid:durableId="190412543">
    <w:abstractNumId w:val="529"/>
  </w:num>
  <w:num w:numId="319" w16cid:durableId="1723820181">
    <w:abstractNumId w:val="491"/>
  </w:num>
  <w:num w:numId="320" w16cid:durableId="1859003746">
    <w:abstractNumId w:val="227"/>
  </w:num>
  <w:num w:numId="321" w16cid:durableId="1745760329">
    <w:abstractNumId w:val="447"/>
  </w:num>
  <w:num w:numId="322" w16cid:durableId="329722360">
    <w:abstractNumId w:val="595"/>
  </w:num>
  <w:num w:numId="323" w16cid:durableId="1257782715">
    <w:abstractNumId w:val="74"/>
  </w:num>
  <w:num w:numId="324" w16cid:durableId="2082945470">
    <w:abstractNumId w:val="522"/>
  </w:num>
  <w:num w:numId="325" w16cid:durableId="1883594749">
    <w:abstractNumId w:val="606"/>
  </w:num>
  <w:num w:numId="326" w16cid:durableId="1222518158">
    <w:abstractNumId w:val="544"/>
  </w:num>
  <w:num w:numId="327" w16cid:durableId="2131241630">
    <w:abstractNumId w:val="373"/>
  </w:num>
  <w:num w:numId="328" w16cid:durableId="617218877">
    <w:abstractNumId w:val="140"/>
  </w:num>
  <w:num w:numId="329" w16cid:durableId="1485197917">
    <w:abstractNumId w:val="408"/>
  </w:num>
  <w:num w:numId="330" w16cid:durableId="19472295">
    <w:abstractNumId w:val="518"/>
  </w:num>
  <w:num w:numId="331" w16cid:durableId="344871083">
    <w:abstractNumId w:val="195"/>
  </w:num>
  <w:num w:numId="332" w16cid:durableId="145324763">
    <w:abstractNumId w:val="162"/>
  </w:num>
  <w:num w:numId="333" w16cid:durableId="1867518763">
    <w:abstractNumId w:val="313"/>
  </w:num>
  <w:num w:numId="334" w16cid:durableId="341056865">
    <w:abstractNumId w:val="538"/>
  </w:num>
  <w:num w:numId="335" w16cid:durableId="921185223">
    <w:abstractNumId w:val="478"/>
  </w:num>
  <w:num w:numId="336" w16cid:durableId="607853744">
    <w:abstractNumId w:val="290"/>
  </w:num>
  <w:num w:numId="337" w16cid:durableId="913128973">
    <w:abstractNumId w:val="659"/>
  </w:num>
  <w:num w:numId="338" w16cid:durableId="1198350464">
    <w:abstractNumId w:val="334"/>
  </w:num>
  <w:num w:numId="339" w16cid:durableId="1256136611">
    <w:abstractNumId w:val="624"/>
  </w:num>
  <w:num w:numId="340" w16cid:durableId="1824157706">
    <w:abstractNumId w:val="70"/>
  </w:num>
  <w:num w:numId="341" w16cid:durableId="8800527">
    <w:abstractNumId w:val="268"/>
  </w:num>
  <w:num w:numId="342" w16cid:durableId="149835737">
    <w:abstractNumId w:val="317"/>
  </w:num>
  <w:num w:numId="343" w16cid:durableId="99885260">
    <w:abstractNumId w:val="372"/>
  </w:num>
  <w:num w:numId="344" w16cid:durableId="1664966953">
    <w:abstractNumId w:val="16"/>
  </w:num>
  <w:num w:numId="345" w16cid:durableId="820730037">
    <w:abstractNumId w:val="169"/>
  </w:num>
  <w:num w:numId="346" w16cid:durableId="1491023493">
    <w:abstractNumId w:val="185"/>
  </w:num>
  <w:num w:numId="347" w16cid:durableId="1142112344">
    <w:abstractNumId w:val="604"/>
  </w:num>
  <w:num w:numId="348" w16cid:durableId="1102455083">
    <w:abstractNumId w:val="670"/>
  </w:num>
  <w:num w:numId="349" w16cid:durableId="405344657">
    <w:abstractNumId w:val="0"/>
  </w:num>
  <w:num w:numId="350" w16cid:durableId="363361753">
    <w:abstractNumId w:val="221"/>
  </w:num>
  <w:num w:numId="351" w16cid:durableId="1430195391">
    <w:abstractNumId w:val="419"/>
  </w:num>
  <w:num w:numId="352" w16cid:durableId="675574196">
    <w:abstractNumId w:val="314"/>
  </w:num>
  <w:num w:numId="353" w16cid:durableId="1331830237">
    <w:abstractNumId w:val="297"/>
  </w:num>
  <w:num w:numId="354" w16cid:durableId="1665207310">
    <w:abstractNumId w:val="650"/>
  </w:num>
  <w:num w:numId="355" w16cid:durableId="630014183">
    <w:abstractNumId w:val="540"/>
  </w:num>
  <w:num w:numId="356" w16cid:durableId="653221145">
    <w:abstractNumId w:val="93"/>
  </w:num>
  <w:num w:numId="357" w16cid:durableId="1468623886">
    <w:abstractNumId w:val="148"/>
  </w:num>
  <w:num w:numId="358" w16cid:durableId="493569940">
    <w:abstractNumId w:val="440"/>
  </w:num>
  <w:num w:numId="359" w16cid:durableId="1169977916">
    <w:abstractNumId w:val="11"/>
  </w:num>
  <w:num w:numId="360" w16cid:durableId="742143149">
    <w:abstractNumId w:val="245"/>
  </w:num>
  <w:num w:numId="361" w16cid:durableId="393503111">
    <w:abstractNumId w:val="217"/>
  </w:num>
  <w:num w:numId="362" w16cid:durableId="944575105">
    <w:abstractNumId w:val="485"/>
  </w:num>
  <w:num w:numId="363" w16cid:durableId="487399848">
    <w:abstractNumId w:val="531"/>
  </w:num>
  <w:num w:numId="364" w16cid:durableId="1751198630">
    <w:abstractNumId w:val="504"/>
  </w:num>
  <w:num w:numId="365" w16cid:durableId="791945339">
    <w:abstractNumId w:val="416"/>
  </w:num>
  <w:num w:numId="366" w16cid:durableId="1229077118">
    <w:abstractNumId w:val="662"/>
  </w:num>
  <w:num w:numId="367" w16cid:durableId="734670757">
    <w:abstractNumId w:val="545"/>
  </w:num>
  <w:num w:numId="368" w16cid:durableId="442531277">
    <w:abstractNumId w:val="172"/>
  </w:num>
  <w:num w:numId="369" w16cid:durableId="139540584">
    <w:abstractNumId w:val="439"/>
  </w:num>
  <w:num w:numId="370" w16cid:durableId="756024966">
    <w:abstractNumId w:val="320"/>
  </w:num>
  <w:num w:numId="371" w16cid:durableId="1651015305">
    <w:abstractNumId w:val="327"/>
  </w:num>
  <w:num w:numId="372" w16cid:durableId="348140211">
    <w:abstractNumId w:val="163"/>
  </w:num>
  <w:num w:numId="373" w16cid:durableId="1092360015">
    <w:abstractNumId w:val="44"/>
  </w:num>
  <w:num w:numId="374" w16cid:durableId="1837568906">
    <w:abstractNumId w:val="329"/>
  </w:num>
  <w:num w:numId="375" w16cid:durableId="1465659874">
    <w:abstractNumId w:val="534"/>
  </w:num>
  <w:num w:numId="376" w16cid:durableId="1716079692">
    <w:abstractNumId w:val="339"/>
  </w:num>
  <w:num w:numId="377" w16cid:durableId="1440295206">
    <w:abstractNumId w:val="427"/>
  </w:num>
  <w:num w:numId="378" w16cid:durableId="1171214127">
    <w:abstractNumId w:val="9"/>
  </w:num>
  <w:num w:numId="379" w16cid:durableId="1901942021">
    <w:abstractNumId w:val="144"/>
  </w:num>
  <w:num w:numId="380" w16cid:durableId="2007710354">
    <w:abstractNumId w:val="312"/>
  </w:num>
  <w:num w:numId="381" w16cid:durableId="1055737410">
    <w:abstractNumId w:val="387"/>
  </w:num>
  <w:num w:numId="382" w16cid:durableId="473067165">
    <w:abstractNumId w:val="115"/>
  </w:num>
  <w:num w:numId="383" w16cid:durableId="1438066315">
    <w:abstractNumId w:val="86"/>
  </w:num>
  <w:num w:numId="384" w16cid:durableId="1544176313">
    <w:abstractNumId w:val="663"/>
  </w:num>
  <w:num w:numId="385" w16cid:durableId="1903103185">
    <w:abstractNumId w:val="444"/>
  </w:num>
  <w:num w:numId="386" w16cid:durableId="1810398006">
    <w:abstractNumId w:val="113"/>
  </w:num>
  <w:num w:numId="387" w16cid:durableId="471675312">
    <w:abstractNumId w:val="137"/>
  </w:num>
  <w:num w:numId="388" w16cid:durableId="1501697030">
    <w:abstractNumId w:val="235"/>
  </w:num>
  <w:num w:numId="389" w16cid:durableId="1686326770">
    <w:abstractNumId w:val="409"/>
  </w:num>
  <w:num w:numId="390" w16cid:durableId="2093039795">
    <w:abstractNumId w:val="108"/>
  </w:num>
  <w:num w:numId="391" w16cid:durableId="1265500361">
    <w:abstractNumId w:val="657"/>
  </w:num>
  <w:num w:numId="392" w16cid:durableId="1495223456">
    <w:abstractNumId w:val="266"/>
  </w:num>
  <w:num w:numId="393" w16cid:durableId="1589192185">
    <w:abstractNumId w:val="350"/>
  </w:num>
  <w:num w:numId="394" w16cid:durableId="154689712">
    <w:abstractNumId w:val="411"/>
  </w:num>
  <w:num w:numId="395" w16cid:durableId="4938298">
    <w:abstractNumId w:val="632"/>
  </w:num>
  <w:num w:numId="396" w16cid:durableId="866676287">
    <w:abstractNumId w:val="565"/>
  </w:num>
  <w:num w:numId="397" w16cid:durableId="918059966">
    <w:abstractNumId w:val="507"/>
  </w:num>
  <w:num w:numId="398" w16cid:durableId="2049992704">
    <w:abstractNumId w:val="471"/>
  </w:num>
  <w:num w:numId="399" w16cid:durableId="391542335">
    <w:abstractNumId w:val="126"/>
  </w:num>
  <w:num w:numId="400" w16cid:durableId="506940125">
    <w:abstractNumId w:val="107"/>
  </w:num>
  <w:num w:numId="401" w16cid:durableId="1317996049">
    <w:abstractNumId w:val="653"/>
  </w:num>
  <w:num w:numId="402" w16cid:durableId="1593079781">
    <w:abstractNumId w:val="415"/>
  </w:num>
  <w:num w:numId="403" w16cid:durableId="1488939056">
    <w:abstractNumId w:val="618"/>
  </w:num>
  <w:num w:numId="404" w16cid:durableId="1328902201">
    <w:abstractNumId w:val="398"/>
  </w:num>
  <w:num w:numId="405" w16cid:durableId="498154761">
    <w:abstractNumId w:val="445"/>
  </w:num>
  <w:num w:numId="406" w16cid:durableId="1099062148">
    <w:abstractNumId w:val="397"/>
  </w:num>
  <w:num w:numId="407" w16cid:durableId="606162016">
    <w:abstractNumId w:val="321"/>
  </w:num>
  <w:num w:numId="408" w16cid:durableId="1442870423">
    <w:abstractNumId w:val="286"/>
  </w:num>
  <w:num w:numId="409" w16cid:durableId="51584679">
    <w:abstractNumId w:val="81"/>
  </w:num>
  <w:num w:numId="410" w16cid:durableId="750934413">
    <w:abstractNumId w:val="610"/>
  </w:num>
  <w:num w:numId="411" w16cid:durableId="791438090">
    <w:abstractNumId w:val="437"/>
  </w:num>
  <w:num w:numId="412" w16cid:durableId="1287543025">
    <w:abstractNumId w:val="78"/>
  </w:num>
  <w:num w:numId="413" w16cid:durableId="1588229722">
    <w:abstractNumId w:val="594"/>
  </w:num>
  <w:num w:numId="414" w16cid:durableId="791438594">
    <w:abstractNumId w:val="461"/>
  </w:num>
  <w:num w:numId="415" w16cid:durableId="1453359052">
    <w:abstractNumId w:val="458"/>
  </w:num>
  <w:num w:numId="416" w16cid:durableId="31661157">
    <w:abstractNumId w:val="269"/>
  </w:num>
  <w:num w:numId="417" w16cid:durableId="2021002296">
    <w:abstractNumId w:val="118"/>
  </w:num>
  <w:num w:numId="418" w16cid:durableId="2095858963">
    <w:abstractNumId w:val="264"/>
  </w:num>
  <w:num w:numId="419" w16cid:durableId="728304727">
    <w:abstractNumId w:val="391"/>
  </w:num>
  <w:num w:numId="420" w16cid:durableId="135026824">
    <w:abstractNumId w:val="506"/>
  </w:num>
  <w:num w:numId="421" w16cid:durableId="687558800">
    <w:abstractNumId w:val="273"/>
  </w:num>
  <w:num w:numId="422" w16cid:durableId="1478257203">
    <w:abstractNumId w:val="328"/>
  </w:num>
  <w:num w:numId="423" w16cid:durableId="1755858945">
    <w:abstractNumId w:val="109"/>
  </w:num>
  <w:num w:numId="424" w16cid:durableId="418870151">
    <w:abstractNumId w:val="303"/>
  </w:num>
  <w:num w:numId="425" w16cid:durableId="1471745036">
    <w:abstractNumId w:val="189"/>
  </w:num>
  <w:num w:numId="426" w16cid:durableId="1358852517">
    <w:abstractNumId w:val="424"/>
  </w:num>
  <w:num w:numId="427" w16cid:durableId="467094316">
    <w:abstractNumId w:val="464"/>
  </w:num>
  <w:num w:numId="428" w16cid:durableId="330644128">
    <w:abstractNumId w:val="505"/>
  </w:num>
  <w:num w:numId="429" w16cid:durableId="1005744783">
    <w:abstractNumId w:val="524"/>
  </w:num>
  <w:num w:numId="430" w16cid:durableId="891573454">
    <w:abstractNumId w:val="271"/>
  </w:num>
  <w:num w:numId="431" w16cid:durableId="479660585">
    <w:abstractNumId w:val="420"/>
  </w:num>
  <w:num w:numId="432" w16cid:durableId="57939998">
    <w:abstractNumId w:val="502"/>
  </w:num>
  <w:num w:numId="433" w16cid:durableId="1840348433">
    <w:abstractNumId w:val="467"/>
  </w:num>
  <w:num w:numId="434" w16cid:durableId="1055738636">
    <w:abstractNumId w:val="104"/>
  </w:num>
  <w:num w:numId="435" w16cid:durableId="1213273520">
    <w:abstractNumId w:val="154"/>
  </w:num>
  <w:num w:numId="436" w16cid:durableId="614017512">
    <w:abstractNumId w:val="53"/>
  </w:num>
  <w:num w:numId="437" w16cid:durableId="1820147091">
    <w:abstractNumId w:val="602"/>
  </w:num>
  <w:num w:numId="438" w16cid:durableId="2112894459">
    <w:abstractNumId w:val="121"/>
  </w:num>
  <w:num w:numId="439" w16cid:durableId="341131866">
    <w:abstractNumId w:val="658"/>
  </w:num>
  <w:num w:numId="440" w16cid:durableId="719019349">
    <w:abstractNumId w:val="66"/>
  </w:num>
  <w:num w:numId="441" w16cid:durableId="1558131142">
    <w:abstractNumId w:val="468"/>
  </w:num>
  <w:num w:numId="442" w16cid:durableId="881096831">
    <w:abstractNumId w:val="96"/>
  </w:num>
  <w:num w:numId="443" w16cid:durableId="17440114">
    <w:abstractNumId w:val="448"/>
  </w:num>
  <w:num w:numId="444" w16cid:durableId="1392651313">
    <w:abstractNumId w:val="8"/>
  </w:num>
  <w:num w:numId="445" w16cid:durableId="469128910">
    <w:abstractNumId w:val="276"/>
  </w:num>
  <w:num w:numId="446" w16cid:durableId="1903910086">
    <w:abstractNumId w:val="480"/>
  </w:num>
  <w:num w:numId="447" w16cid:durableId="1828128566">
    <w:abstractNumId w:val="578"/>
  </w:num>
  <w:num w:numId="448" w16cid:durableId="1478260771">
    <w:abstractNumId w:val="500"/>
  </w:num>
  <w:num w:numId="449" w16cid:durableId="765030875">
    <w:abstractNumId w:val="255"/>
  </w:num>
  <w:num w:numId="450" w16cid:durableId="576861868">
    <w:abstractNumId w:val="558"/>
  </w:num>
  <w:num w:numId="451" w16cid:durableId="788861617">
    <w:abstractNumId w:val="580"/>
  </w:num>
  <w:num w:numId="452" w16cid:durableId="1294872015">
    <w:abstractNumId w:val="319"/>
  </w:num>
  <w:num w:numId="453" w16cid:durableId="518547440">
    <w:abstractNumId w:val="214"/>
  </w:num>
  <w:num w:numId="454" w16cid:durableId="652565661">
    <w:abstractNumId w:val="347"/>
  </w:num>
  <w:num w:numId="455" w16cid:durableId="1154906227">
    <w:abstractNumId w:val="272"/>
  </w:num>
  <w:num w:numId="456" w16cid:durableId="434710037">
    <w:abstractNumId w:val="278"/>
  </w:num>
  <w:num w:numId="457" w16cid:durableId="872572154">
    <w:abstractNumId w:val="84"/>
  </w:num>
  <w:num w:numId="458" w16cid:durableId="522323300">
    <w:abstractNumId w:val="72"/>
  </w:num>
  <w:num w:numId="459" w16cid:durableId="213857887">
    <w:abstractNumId w:val="116"/>
  </w:num>
  <w:num w:numId="460" w16cid:durableId="651639162">
    <w:abstractNumId w:val="61"/>
  </w:num>
  <w:num w:numId="461" w16cid:durableId="1028409948">
    <w:abstractNumId w:val="576"/>
  </w:num>
  <w:num w:numId="462" w16cid:durableId="1724787224">
    <w:abstractNumId w:val="615"/>
  </w:num>
  <w:num w:numId="463" w16cid:durableId="76488645">
    <w:abstractNumId w:val="62"/>
  </w:num>
  <w:num w:numId="464" w16cid:durableId="2028561286">
    <w:abstractNumId w:val="275"/>
  </w:num>
  <w:num w:numId="465" w16cid:durableId="1258367534">
    <w:abstractNumId w:val="605"/>
  </w:num>
  <w:num w:numId="466" w16cid:durableId="1515921809">
    <w:abstractNumId w:val="151"/>
  </w:num>
  <w:num w:numId="467" w16cid:durableId="1884171882">
    <w:abstractNumId w:val="363"/>
  </w:num>
  <w:num w:numId="468" w16cid:durableId="1560290597">
    <w:abstractNumId w:val="417"/>
  </w:num>
  <w:num w:numId="469" w16cid:durableId="1101949954">
    <w:abstractNumId w:val="165"/>
  </w:num>
  <w:num w:numId="470" w16cid:durableId="1655647613">
    <w:abstractNumId w:val="194"/>
  </w:num>
  <w:num w:numId="471" w16cid:durableId="436411700">
    <w:abstractNumId w:val="643"/>
  </w:num>
  <w:num w:numId="472" w16cid:durableId="390928513">
    <w:abstractNumId w:val="211"/>
  </w:num>
  <w:num w:numId="473" w16cid:durableId="851837370">
    <w:abstractNumId w:val="661"/>
  </w:num>
  <w:num w:numId="474" w16cid:durableId="2012103020">
    <w:abstractNumId w:val="563"/>
  </w:num>
  <w:num w:numId="475" w16cid:durableId="219367992">
    <w:abstractNumId w:val="57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2"/>
  </w:num>
  <w:num w:numId="478" w16cid:durableId="2071078013">
    <w:abstractNumId w:val="294"/>
  </w:num>
  <w:num w:numId="479" w16cid:durableId="405996736">
    <w:abstractNumId w:val="191"/>
  </w:num>
  <w:num w:numId="480" w16cid:durableId="1642155238">
    <w:abstractNumId w:val="123"/>
  </w:num>
  <w:num w:numId="481" w16cid:durableId="1413309136">
    <w:abstractNumId w:val="46"/>
  </w:num>
  <w:num w:numId="482" w16cid:durableId="976571691">
    <w:abstractNumId w:val="382"/>
  </w:num>
  <w:num w:numId="483" w16cid:durableId="733813620">
    <w:abstractNumId w:val="462"/>
  </w:num>
  <w:num w:numId="484" w16cid:durableId="1105609635">
    <w:abstractNumId w:val="324"/>
  </w:num>
  <w:num w:numId="485" w16cid:durableId="1987398406">
    <w:abstractNumId w:val="600"/>
  </w:num>
  <w:num w:numId="486" w16cid:durableId="1687753861">
    <w:abstractNumId w:val="142"/>
  </w:num>
  <w:num w:numId="487" w16cid:durableId="1672559508">
    <w:abstractNumId w:val="49"/>
  </w:num>
  <w:num w:numId="488" w16cid:durableId="1718121273">
    <w:abstractNumId w:val="426"/>
  </w:num>
  <w:num w:numId="489" w16cid:durableId="519900822">
    <w:abstractNumId w:val="614"/>
  </w:num>
  <w:num w:numId="490" w16cid:durableId="850602460">
    <w:abstractNumId w:val="586"/>
  </w:num>
  <w:num w:numId="491" w16cid:durableId="292908228">
    <w:abstractNumId w:val="351"/>
  </w:num>
  <w:num w:numId="492" w16cid:durableId="1923833589">
    <w:abstractNumId w:val="523"/>
  </w:num>
  <w:num w:numId="493" w16cid:durableId="603223414">
    <w:abstractNumId w:val="225"/>
  </w:num>
  <w:num w:numId="494" w16cid:durableId="1921669983">
    <w:abstractNumId w:val="375"/>
  </w:num>
  <w:num w:numId="495" w16cid:durableId="78138901">
    <w:abstractNumId w:val="103"/>
  </w:num>
  <w:num w:numId="496" w16cid:durableId="1336150392">
    <w:abstractNumId w:val="656"/>
  </w:num>
  <w:num w:numId="497" w16cid:durableId="2088770528">
    <w:abstractNumId w:val="465"/>
  </w:num>
  <w:num w:numId="498" w16cid:durableId="149952613">
    <w:abstractNumId w:val="56"/>
  </w:num>
  <w:num w:numId="499" w16cid:durableId="496073718">
    <w:abstractNumId w:val="463"/>
  </w:num>
  <w:num w:numId="500" w16cid:durableId="1642880102">
    <w:abstractNumId w:val="208"/>
  </w:num>
  <w:num w:numId="501" w16cid:durableId="2080127658">
    <w:abstractNumId w:val="58"/>
  </w:num>
  <w:num w:numId="502" w16cid:durableId="1362121308">
    <w:abstractNumId w:val="37"/>
  </w:num>
  <w:num w:numId="503" w16cid:durableId="2030179636">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22"/>
  </w:num>
  <w:num w:numId="506" w16cid:durableId="1943799309">
    <w:abstractNumId w:val="299"/>
  </w:num>
  <w:num w:numId="507" w16cid:durableId="2006008425">
    <w:abstractNumId w:val="660"/>
  </w:num>
  <w:num w:numId="508" w16cid:durableId="2139951819">
    <w:abstractNumId w:val="511"/>
  </w:num>
  <w:num w:numId="509" w16cid:durableId="383800106">
    <w:abstractNumId w:val="63"/>
  </w:num>
  <w:num w:numId="510" w16cid:durableId="951281625">
    <w:abstractNumId w:val="326"/>
  </w:num>
  <w:num w:numId="511" w16cid:durableId="1139807983">
    <w:abstractNumId w:val="581"/>
  </w:num>
  <w:num w:numId="512" w16cid:durableId="381296640">
    <w:abstractNumId w:val="425"/>
  </w:num>
  <w:num w:numId="513" w16cid:durableId="1771200472">
    <w:abstractNumId w:val="627"/>
  </w:num>
  <w:num w:numId="514" w16cid:durableId="528028960">
    <w:abstractNumId w:val="551"/>
  </w:num>
  <w:num w:numId="515" w16cid:durableId="261768329">
    <w:abstractNumId w:val="2"/>
  </w:num>
  <w:num w:numId="516" w16cid:durableId="283660506">
    <w:abstractNumId w:val="472"/>
  </w:num>
  <w:num w:numId="517" w16cid:durableId="1964576333">
    <w:abstractNumId w:val="177"/>
  </w:num>
  <w:num w:numId="518" w16cid:durableId="1247493201">
    <w:abstractNumId w:val="253"/>
  </w:num>
  <w:num w:numId="519" w16cid:durableId="537547240">
    <w:abstractNumId w:val="354"/>
  </w:num>
  <w:num w:numId="520" w16cid:durableId="871305922">
    <w:abstractNumId w:val="612"/>
  </w:num>
  <w:num w:numId="521" w16cid:durableId="1148862682">
    <w:abstractNumId w:val="572"/>
  </w:num>
  <w:num w:numId="522" w16cid:durableId="633802068">
    <w:abstractNumId w:val="82"/>
  </w:num>
  <w:num w:numId="523" w16cid:durableId="132598164">
    <w:abstractNumId w:val="446"/>
  </w:num>
  <w:num w:numId="524" w16cid:durableId="49770122">
    <w:abstractNumId w:val="87"/>
  </w:num>
  <w:num w:numId="525" w16cid:durableId="33387205">
    <w:abstractNumId w:val="501"/>
  </w:num>
  <w:num w:numId="526" w16cid:durableId="1287925835">
    <w:abstractNumId w:val="492"/>
  </w:num>
  <w:num w:numId="527" w16cid:durableId="1953708491">
    <w:abstractNumId w:val="85"/>
  </w:num>
  <w:num w:numId="528" w16cid:durableId="1633822821">
    <w:abstractNumId w:val="76"/>
  </w:num>
  <w:num w:numId="529" w16cid:durableId="1403525143">
    <w:abstractNumId w:val="220"/>
  </w:num>
  <w:num w:numId="530" w16cid:durableId="1339843444">
    <w:abstractNumId w:val="402"/>
  </w:num>
  <w:num w:numId="531" w16cid:durableId="942810285">
    <w:abstractNumId w:val="453"/>
  </w:num>
  <w:num w:numId="532" w16cid:durableId="754478965">
    <w:abstractNumId w:val="157"/>
  </w:num>
  <w:num w:numId="533" w16cid:durableId="922448039">
    <w:abstractNumId w:val="554"/>
  </w:num>
  <w:num w:numId="534" w16cid:durableId="2068381954">
    <w:abstractNumId w:val="486"/>
  </w:num>
  <w:num w:numId="535" w16cid:durableId="1638217000">
    <w:abstractNumId w:val="1"/>
  </w:num>
  <w:num w:numId="536" w16cid:durableId="128666058">
    <w:abstractNumId w:val="301"/>
  </w:num>
  <w:num w:numId="537" w16cid:durableId="125203454">
    <w:abstractNumId w:val="99"/>
  </w:num>
  <w:num w:numId="538" w16cid:durableId="861018058">
    <w:abstractNumId w:val="568"/>
  </w:num>
  <w:num w:numId="539" w16cid:durableId="1752921279">
    <w:abstractNumId w:val="155"/>
  </w:num>
  <w:num w:numId="540" w16cid:durableId="70583013">
    <w:abstractNumId w:val="634"/>
  </w:num>
  <w:num w:numId="541" w16cid:durableId="1106581146">
    <w:abstractNumId w:val="456"/>
  </w:num>
  <w:num w:numId="542" w16cid:durableId="1090732344">
    <w:abstractNumId w:val="608"/>
  </w:num>
  <w:num w:numId="543" w16cid:durableId="875044333">
    <w:abstractNumId w:val="51"/>
  </w:num>
  <w:num w:numId="544" w16cid:durableId="1110003725">
    <w:abstractNumId w:val="13"/>
  </w:num>
  <w:num w:numId="545" w16cid:durableId="959920143">
    <w:abstractNumId w:val="644"/>
  </w:num>
  <w:num w:numId="546" w16cid:durableId="1397358695">
    <w:abstractNumId w:val="585"/>
  </w:num>
  <w:num w:numId="547" w16cid:durableId="711340883">
    <w:abstractNumId w:val="407"/>
  </w:num>
  <w:num w:numId="548" w16cid:durableId="615866319">
    <w:abstractNumId w:val="146"/>
  </w:num>
  <w:num w:numId="549" w16cid:durableId="1433088982">
    <w:abstractNumId w:val="75"/>
  </w:num>
  <w:num w:numId="550" w16cid:durableId="1380084752">
    <w:abstractNumId w:val="364"/>
  </w:num>
  <w:num w:numId="551" w16cid:durableId="1664042457">
    <w:abstractNumId w:val="239"/>
  </w:num>
  <w:num w:numId="552" w16cid:durableId="1796219587">
    <w:abstractNumId w:val="295"/>
  </w:num>
  <w:num w:numId="553" w16cid:durableId="1094058848">
    <w:abstractNumId w:val="645"/>
  </w:num>
  <w:num w:numId="554" w16cid:durableId="1003359951">
    <w:abstractNumId w:val="388"/>
  </w:num>
  <w:num w:numId="555" w16cid:durableId="1119492504">
    <w:abstractNumId w:val="559"/>
  </w:num>
  <w:num w:numId="556" w16cid:durableId="574512301">
    <w:abstractNumId w:val="4"/>
  </w:num>
  <w:num w:numId="557" w16cid:durableId="1724910121">
    <w:abstractNumId w:val="50"/>
  </w:num>
  <w:num w:numId="558" w16cid:durableId="140392569">
    <w:abstractNumId w:val="12"/>
  </w:num>
  <w:num w:numId="559" w16cid:durableId="1199271323">
    <w:abstractNumId w:val="36"/>
  </w:num>
  <w:num w:numId="560" w16cid:durableId="771242374">
    <w:abstractNumId w:val="202"/>
  </w:num>
  <w:num w:numId="561" w16cid:durableId="40329794">
    <w:abstractNumId w:val="596"/>
  </w:num>
  <w:num w:numId="562" w16cid:durableId="1216040945">
    <w:abstractNumId w:val="293"/>
  </w:num>
  <w:num w:numId="563" w16cid:durableId="512107058">
    <w:abstractNumId w:val="196"/>
  </w:num>
  <w:num w:numId="564" w16cid:durableId="575167179">
    <w:abstractNumId w:val="128"/>
  </w:num>
  <w:num w:numId="565" w16cid:durableId="1502575643">
    <w:abstractNumId w:val="279"/>
  </w:num>
  <w:num w:numId="566" w16cid:durableId="1551914716">
    <w:abstractNumId w:val="646"/>
  </w:num>
  <w:num w:numId="567" w16cid:durableId="179200433">
    <w:abstractNumId w:val="143"/>
  </w:num>
  <w:num w:numId="568" w16cid:durableId="288052214">
    <w:abstractNumId w:val="438"/>
  </w:num>
  <w:num w:numId="569" w16cid:durableId="1384251772">
    <w:abstractNumId w:val="296"/>
  </w:num>
  <w:num w:numId="570" w16cid:durableId="831793754">
    <w:abstractNumId w:val="311"/>
  </w:num>
  <w:num w:numId="571" w16cid:durableId="1823349287">
    <w:abstractNumId w:val="539"/>
  </w:num>
  <w:num w:numId="572" w16cid:durableId="2017540158">
    <w:abstractNumId w:val="349"/>
  </w:num>
  <w:num w:numId="573" w16cid:durableId="1912887210">
    <w:abstractNumId w:val="236"/>
  </w:num>
  <w:num w:numId="574" w16cid:durableId="1480345518">
    <w:abstractNumId w:val="251"/>
  </w:num>
  <w:num w:numId="575" w16cid:durableId="575748318">
    <w:abstractNumId w:val="436"/>
  </w:num>
  <w:num w:numId="576" w16cid:durableId="1542404693">
    <w:abstractNumId w:val="241"/>
  </w:num>
  <w:num w:numId="577" w16cid:durableId="386035582">
    <w:abstractNumId w:val="418"/>
  </w:num>
  <w:num w:numId="578" w16cid:durableId="2056808413">
    <w:abstractNumId w:val="377"/>
  </w:num>
  <w:num w:numId="579" w16cid:durableId="1651522557">
    <w:abstractNumId w:val="475"/>
  </w:num>
  <w:num w:numId="580" w16cid:durableId="562912943">
    <w:abstractNumId w:val="249"/>
  </w:num>
  <w:num w:numId="581" w16cid:durableId="449325448">
    <w:abstractNumId w:val="569"/>
  </w:num>
  <w:num w:numId="582" w16cid:durableId="1865168553">
    <w:abstractNumId w:val="32"/>
  </w:num>
  <w:num w:numId="583" w16cid:durableId="823740830">
    <w:abstractNumId w:val="89"/>
  </w:num>
  <w:num w:numId="584" w16cid:durableId="2134203365">
    <w:abstractNumId w:val="476"/>
  </w:num>
  <w:num w:numId="585" w16cid:durableId="485436031">
    <w:abstractNumId w:val="161"/>
  </w:num>
  <w:num w:numId="586" w16cid:durableId="74908024">
    <w:abstractNumId w:val="557"/>
  </w:num>
  <w:num w:numId="587" w16cid:durableId="278686289">
    <w:abstractNumId w:val="473"/>
  </w:num>
  <w:num w:numId="588" w16cid:durableId="1873957098">
    <w:abstractNumId w:val="181"/>
  </w:num>
  <w:num w:numId="589" w16cid:durableId="1429503351">
    <w:abstractNumId w:val="620"/>
  </w:num>
  <w:num w:numId="590" w16cid:durableId="108404417">
    <w:abstractNumId w:val="3"/>
  </w:num>
  <w:num w:numId="591" w16cid:durableId="330105705">
    <w:abstractNumId w:val="306"/>
  </w:num>
  <w:num w:numId="592" w16cid:durableId="1994944006">
    <w:abstractNumId w:val="623"/>
  </w:num>
  <w:num w:numId="593" w16cid:durableId="707220362">
    <w:abstractNumId w:val="205"/>
  </w:num>
  <w:num w:numId="594" w16cid:durableId="168445744">
    <w:abstractNumId w:val="83"/>
  </w:num>
  <w:num w:numId="595" w16cid:durableId="1296444909">
    <w:abstractNumId w:val="435"/>
  </w:num>
  <w:num w:numId="596" w16cid:durableId="176236674">
    <w:abstractNumId w:val="509"/>
  </w:num>
  <w:num w:numId="597" w16cid:durableId="1324746893">
    <w:abstractNumId w:val="90"/>
  </w:num>
  <w:num w:numId="598" w16cid:durableId="1118719474">
    <w:abstractNumId w:val="27"/>
  </w:num>
  <w:num w:numId="599" w16cid:durableId="225991254">
    <w:abstractNumId w:val="57"/>
  </w:num>
  <w:num w:numId="600" w16cid:durableId="1806969033">
    <w:abstractNumId w:val="669"/>
  </w:num>
  <w:num w:numId="601" w16cid:durableId="1542865201">
    <w:abstractNumId w:val="176"/>
  </w:num>
  <w:num w:numId="602" w16cid:durableId="823591320">
    <w:abstractNumId w:val="201"/>
  </w:num>
  <w:num w:numId="603" w16cid:durableId="1612083284">
    <w:abstractNumId w:val="469"/>
  </w:num>
  <w:num w:numId="604" w16cid:durableId="80613507">
    <w:abstractNumId w:val="287"/>
  </w:num>
  <w:num w:numId="605" w16cid:durableId="679433933">
    <w:abstractNumId w:val="222"/>
  </w:num>
  <w:num w:numId="606" w16cid:durableId="1068184379">
    <w:abstractNumId w:val="102"/>
  </w:num>
  <w:num w:numId="607" w16cid:durableId="442653447">
    <w:abstractNumId w:val="15"/>
  </w:num>
  <w:num w:numId="608" w16cid:durableId="1584299879">
    <w:abstractNumId w:val="206"/>
  </w:num>
  <w:num w:numId="609" w16cid:durableId="1921523604">
    <w:abstractNumId w:val="54"/>
  </w:num>
  <w:num w:numId="610" w16cid:durableId="887230075">
    <w:abstractNumId w:val="526"/>
  </w:num>
  <w:num w:numId="611" w16cid:durableId="696320551">
    <w:abstractNumId w:val="246"/>
  </w:num>
  <w:num w:numId="612" w16cid:durableId="1314139593">
    <w:abstractNumId w:val="451"/>
  </w:num>
  <w:num w:numId="613" w16cid:durableId="1032342766">
    <w:abstractNumId w:val="567"/>
  </w:num>
  <w:num w:numId="614" w16cid:durableId="384834264">
    <w:abstractNumId w:val="330"/>
  </w:num>
  <w:num w:numId="615" w16cid:durableId="24987762">
    <w:abstractNumId w:val="562"/>
  </w:num>
  <w:num w:numId="616" w16cid:durableId="170730701">
    <w:abstractNumId w:val="277"/>
  </w:num>
  <w:num w:numId="617" w16cid:durableId="331681343">
    <w:abstractNumId w:val="498"/>
  </w:num>
  <w:num w:numId="618" w16cid:durableId="869029749">
    <w:abstractNumId w:val="26"/>
  </w:num>
  <w:num w:numId="619" w16cid:durableId="1708530737">
    <w:abstractNumId w:val="242"/>
  </w:num>
  <w:num w:numId="620" w16cid:durableId="1287586187">
    <w:abstractNumId w:val="170"/>
  </w:num>
  <w:num w:numId="621" w16cid:durableId="1737586421">
    <w:abstractNumId w:val="183"/>
  </w:num>
  <w:num w:numId="622" w16cid:durableId="1426148774">
    <w:abstractNumId w:val="308"/>
  </w:num>
  <w:num w:numId="623" w16cid:durableId="836189719">
    <w:abstractNumId w:val="215"/>
  </w:num>
  <w:num w:numId="624" w16cid:durableId="952900932">
    <w:abstractNumId w:val="652"/>
  </w:num>
  <w:num w:numId="625" w16cid:durableId="2017882029">
    <w:abstractNumId w:val="289"/>
  </w:num>
  <w:num w:numId="626" w16cid:durableId="451679290">
    <w:abstractNumId w:val="345"/>
  </w:num>
  <w:num w:numId="627" w16cid:durableId="711539106">
    <w:abstractNumId w:val="262"/>
  </w:num>
  <w:num w:numId="628" w16cid:durableId="1240093614">
    <w:abstractNumId w:val="114"/>
  </w:num>
  <w:num w:numId="629" w16cid:durableId="27797925">
    <w:abstractNumId w:val="223"/>
  </w:num>
  <w:num w:numId="630" w16cid:durableId="1678076099">
    <w:abstractNumId w:val="560"/>
  </w:num>
  <w:num w:numId="631" w16cid:durableId="1397433338">
    <w:abstractNumId w:val="257"/>
  </w:num>
  <w:num w:numId="632" w16cid:durableId="629286672">
    <w:abstractNumId w:val="570"/>
  </w:num>
  <w:num w:numId="633" w16cid:durableId="31157956">
    <w:abstractNumId w:val="261"/>
  </w:num>
  <w:num w:numId="634" w16cid:durableId="1459253885">
    <w:abstractNumId w:val="187"/>
  </w:num>
  <w:num w:numId="635" w16cid:durableId="961812504">
    <w:abstractNumId w:val="17"/>
  </w:num>
  <w:num w:numId="636" w16cid:durableId="965083578">
    <w:abstractNumId w:val="525"/>
  </w:num>
  <w:num w:numId="637" w16cid:durableId="1172986684">
    <w:abstractNumId w:val="309"/>
  </w:num>
  <w:num w:numId="638" w16cid:durableId="903371202">
    <w:abstractNumId w:val="190"/>
  </w:num>
  <w:num w:numId="639" w16cid:durableId="283316895">
    <w:abstractNumId w:val="617"/>
  </w:num>
  <w:num w:numId="640" w16cid:durableId="687878253">
    <w:abstractNumId w:val="237"/>
  </w:num>
  <w:num w:numId="641" w16cid:durableId="1768504881">
    <w:abstractNumId w:val="548"/>
  </w:num>
  <w:num w:numId="642" w16cid:durableId="696080282">
    <w:abstractNumId w:val="611"/>
  </w:num>
  <w:num w:numId="643" w16cid:durableId="126242520">
    <w:abstractNumId w:val="360"/>
  </w:num>
  <w:num w:numId="644" w16cid:durableId="1933005844">
    <w:abstractNumId w:val="490"/>
  </w:num>
  <w:num w:numId="645" w16cid:durableId="1218398506">
    <w:abstractNumId w:val="122"/>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0"/>
  </w:num>
  <w:num w:numId="661" w16cid:durableId="1815412926">
    <w:abstractNumId w:val="422"/>
  </w:num>
  <w:num w:numId="662" w16cid:durableId="1613321851">
    <w:abstractNumId w:val="17"/>
  </w:num>
  <w:num w:numId="663" w16cid:durableId="982202351">
    <w:abstractNumId w:val="59"/>
  </w:num>
  <w:num w:numId="664" w16cid:durableId="591593970">
    <w:abstractNumId w:val="441"/>
  </w:num>
  <w:num w:numId="665" w16cid:durableId="2028404872">
    <w:abstractNumId w:val="17"/>
  </w:num>
  <w:num w:numId="666" w16cid:durableId="467748487">
    <w:abstractNumId w:val="17"/>
  </w:num>
  <w:num w:numId="667" w16cid:durableId="153690008">
    <w:abstractNumId w:val="366"/>
  </w:num>
  <w:num w:numId="668" w16cid:durableId="821628125">
    <w:abstractNumId w:val="17"/>
  </w:num>
  <w:num w:numId="669" w16cid:durableId="845754905">
    <w:abstractNumId w:val="17"/>
  </w:num>
  <w:num w:numId="670" w16cid:durableId="1631126000">
    <w:abstractNumId w:val="17"/>
  </w:num>
  <w:num w:numId="671" w16cid:durableId="1788162825">
    <w:abstractNumId w:val="566"/>
  </w:num>
  <w:num w:numId="672" w16cid:durableId="770201170">
    <w:abstractNumId w:val="510"/>
  </w:num>
  <w:num w:numId="673" w16cid:durableId="1048839048">
    <w:abstractNumId w:val="403"/>
  </w:num>
  <w:num w:numId="674" w16cid:durableId="760950190">
    <w:abstractNumId w:val="65"/>
  </w:num>
  <w:num w:numId="675" w16cid:durableId="603460838">
    <w:abstractNumId w:val="457"/>
  </w:num>
  <w:num w:numId="676" w16cid:durableId="1496846682">
    <w:abstractNumId w:val="369"/>
  </w:num>
  <w:num w:numId="677" w16cid:durableId="629241762">
    <w:abstractNumId w:val="17"/>
  </w:num>
  <w:num w:numId="678" w16cid:durableId="459495238">
    <w:abstractNumId w:val="228"/>
  </w:num>
  <w:num w:numId="679" w16cid:durableId="1394158559">
    <w:abstractNumId w:val="117"/>
  </w:num>
  <w:num w:numId="680" w16cid:durableId="1917282524">
    <w:abstractNumId w:val="147"/>
  </w:num>
  <w:num w:numId="681" w16cid:durableId="2108117090">
    <w:abstractNumId w:val="370"/>
  </w:num>
  <w:num w:numId="682" w16cid:durableId="398018017">
    <w:abstractNumId w:val="48"/>
  </w:num>
  <w:num w:numId="683" w16cid:durableId="2082361914">
    <w:abstractNumId w:val="541"/>
  </w:num>
  <w:num w:numId="684" w16cid:durableId="1452826027">
    <w:abstractNumId w:val="390"/>
  </w:num>
  <w:num w:numId="685" w16cid:durableId="924533630">
    <w:abstractNumId w:val="284"/>
  </w:num>
  <w:num w:numId="686" w16cid:durableId="1014767145">
    <w:abstractNumId w:val="17"/>
  </w:num>
  <w:num w:numId="687" w16cid:durableId="2140806397">
    <w:abstractNumId w:val="385"/>
  </w:num>
  <w:num w:numId="688" w16cid:durableId="2011828548">
    <w:abstractNumId w:val="248"/>
  </w:num>
  <w:num w:numId="689" w16cid:durableId="1981878125">
    <w:abstractNumId w:val="283"/>
  </w:num>
  <w:num w:numId="690" w16cid:durableId="464352464">
    <w:abstractNumId w:val="88"/>
  </w:num>
  <w:num w:numId="691" w16cid:durableId="947926404">
    <w:abstractNumId w:val="367"/>
  </w:num>
  <w:num w:numId="692" w16cid:durableId="1311710319">
    <w:abstractNumId w:val="647"/>
  </w:num>
  <w:num w:numId="693" w16cid:durableId="1301233467">
    <w:abstractNumId w:val="597"/>
  </w:num>
  <w:num w:numId="694" w16cid:durableId="2123918726">
    <w:abstractNumId w:val="35"/>
  </w:num>
  <w:num w:numId="695" w16cid:durableId="246034670">
    <w:abstractNumId w:val="384"/>
  </w:num>
  <w:num w:numId="696" w16cid:durableId="1719014002">
    <w:abstractNumId w:val="168"/>
  </w:num>
  <w:num w:numId="697" w16cid:durableId="1839341227">
    <w:abstractNumId w:val="17"/>
  </w:num>
  <w:num w:numId="698" w16cid:durableId="1365329975">
    <w:abstractNumId w:val="17"/>
  </w:num>
  <w:num w:numId="699" w16cid:durableId="1895923069">
    <w:abstractNumId w:val="17"/>
  </w:num>
  <w:num w:numId="700" w16cid:durableId="895044956">
    <w:abstractNumId w:val="17"/>
  </w:num>
  <w:num w:numId="701" w16cid:durableId="645741173">
    <w:abstractNumId w:val="17"/>
  </w:num>
  <w:num w:numId="702" w16cid:durableId="811557848">
    <w:abstractNumId w:val="17"/>
  </w:num>
  <w:num w:numId="703" w16cid:durableId="828790017">
    <w:abstractNumId w:val="17"/>
  </w:num>
  <w:num w:numId="704" w16cid:durableId="1890652024">
    <w:abstractNumId w:val="17"/>
  </w:num>
  <w:num w:numId="705" w16cid:durableId="1675381753">
    <w:abstractNumId w:val="17"/>
  </w:num>
  <w:num w:numId="706" w16cid:durableId="317155014">
    <w:abstractNumId w:val="664"/>
  </w:num>
  <w:num w:numId="707" w16cid:durableId="968824279">
    <w:abstractNumId w:val="17"/>
  </w:num>
  <w:num w:numId="708" w16cid:durableId="724647125">
    <w:abstractNumId w:val="625"/>
  </w:num>
  <w:num w:numId="709" w16cid:durableId="82879003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11E2"/>
    <w:rsid w:val="0015468B"/>
    <w:rsid w:val="00154B1C"/>
    <w:rsid w:val="00156473"/>
    <w:rsid w:val="00157942"/>
    <w:rsid w:val="00163C7B"/>
    <w:rsid w:val="001773F7"/>
    <w:rsid w:val="00181667"/>
    <w:rsid w:val="0019234A"/>
    <w:rsid w:val="001D25C0"/>
    <w:rsid w:val="001D3923"/>
    <w:rsid w:val="001D67E9"/>
    <w:rsid w:val="001D6884"/>
    <w:rsid w:val="001D7163"/>
    <w:rsid w:val="001E4CFE"/>
    <w:rsid w:val="00211AA6"/>
    <w:rsid w:val="00220189"/>
    <w:rsid w:val="00226209"/>
    <w:rsid w:val="002274C5"/>
    <w:rsid w:val="002528DE"/>
    <w:rsid w:val="002548E6"/>
    <w:rsid w:val="002606FC"/>
    <w:rsid w:val="00275881"/>
    <w:rsid w:val="002A6E57"/>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F0E0D"/>
    <w:rsid w:val="00401C6F"/>
    <w:rsid w:val="0040416A"/>
    <w:rsid w:val="004101C9"/>
    <w:rsid w:val="00417C58"/>
    <w:rsid w:val="004231FA"/>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133CD"/>
    <w:rsid w:val="00530665"/>
    <w:rsid w:val="00555D20"/>
    <w:rsid w:val="00557396"/>
    <w:rsid w:val="005635BB"/>
    <w:rsid w:val="00570855"/>
    <w:rsid w:val="0057268A"/>
    <w:rsid w:val="005729D7"/>
    <w:rsid w:val="0057482D"/>
    <w:rsid w:val="00576AB1"/>
    <w:rsid w:val="00580AAD"/>
    <w:rsid w:val="00596782"/>
    <w:rsid w:val="005A2726"/>
    <w:rsid w:val="005C5ACE"/>
    <w:rsid w:val="005E2CF1"/>
    <w:rsid w:val="005F50BF"/>
    <w:rsid w:val="00606763"/>
    <w:rsid w:val="006104C7"/>
    <w:rsid w:val="00612997"/>
    <w:rsid w:val="006315A5"/>
    <w:rsid w:val="006600B6"/>
    <w:rsid w:val="006858FA"/>
    <w:rsid w:val="00691900"/>
    <w:rsid w:val="006A2FB0"/>
    <w:rsid w:val="006A5206"/>
    <w:rsid w:val="006B3DCD"/>
    <w:rsid w:val="006C60F6"/>
    <w:rsid w:val="006E53C6"/>
    <w:rsid w:val="00701A17"/>
    <w:rsid w:val="00760F24"/>
    <w:rsid w:val="00763A34"/>
    <w:rsid w:val="00770627"/>
    <w:rsid w:val="00781DD5"/>
    <w:rsid w:val="00782243"/>
    <w:rsid w:val="00792998"/>
    <w:rsid w:val="007A63FA"/>
    <w:rsid w:val="007A65FF"/>
    <w:rsid w:val="007B0C3B"/>
    <w:rsid w:val="007B2FF8"/>
    <w:rsid w:val="007B4BDD"/>
    <w:rsid w:val="007B78A6"/>
    <w:rsid w:val="007C1AEA"/>
    <w:rsid w:val="007D538A"/>
    <w:rsid w:val="007E6B90"/>
    <w:rsid w:val="008049AB"/>
    <w:rsid w:val="00805A89"/>
    <w:rsid w:val="00816329"/>
    <w:rsid w:val="00826D07"/>
    <w:rsid w:val="00826E9C"/>
    <w:rsid w:val="008443A3"/>
    <w:rsid w:val="008468D4"/>
    <w:rsid w:val="008836E9"/>
    <w:rsid w:val="008900D4"/>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611DB"/>
    <w:rsid w:val="009642E4"/>
    <w:rsid w:val="00987AEE"/>
    <w:rsid w:val="009B0A18"/>
    <w:rsid w:val="009C1B6C"/>
    <w:rsid w:val="009D0133"/>
    <w:rsid w:val="009D732B"/>
    <w:rsid w:val="009E3DB7"/>
    <w:rsid w:val="009E5063"/>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107A6"/>
    <w:rsid w:val="00B262D6"/>
    <w:rsid w:val="00B3722D"/>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6EAA"/>
    <w:rsid w:val="00C5542D"/>
    <w:rsid w:val="00C73D2A"/>
    <w:rsid w:val="00C850B2"/>
    <w:rsid w:val="00CA2F66"/>
    <w:rsid w:val="00CB1727"/>
    <w:rsid w:val="00CB4DF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49A8"/>
    <w:rsid w:val="00ED7AE1"/>
    <w:rsid w:val="00EE1C80"/>
    <w:rsid w:val="00EE25B0"/>
    <w:rsid w:val="00EE4C05"/>
    <w:rsid w:val="00EF1059"/>
    <w:rsid w:val="00F20141"/>
    <w:rsid w:val="00F51C98"/>
    <w:rsid w:val="00F52E6A"/>
    <w:rsid w:val="00F6497B"/>
    <w:rsid w:val="00F81399"/>
    <w:rsid w:val="00FA0EF5"/>
    <w:rsid w:val="00FA4806"/>
    <w:rsid w:val="00FC5262"/>
    <w:rsid w:val="00FE068C"/>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314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12</Pages>
  <Words>4857</Words>
  <Characters>27688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2024-09-26T03:21:00Z</dcterms:created>
  <dcterms:modified xsi:type="dcterms:W3CDTF">2024-09-27T02:54:00Z</dcterms:modified>
</cp:coreProperties>
</file>